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7A" w:rsidRDefault="00B7077A" w:rsidP="0033050F">
      <w:pPr>
        <w:spacing w:after="0"/>
        <w:jc w:val="center"/>
        <w:rPr>
          <w:rFonts w:ascii="Times New Roman" w:hAnsi="Times New Roman"/>
          <w:b/>
          <w:smallCaps/>
          <w:sz w:val="26"/>
          <w:szCs w:val="28"/>
          <w:lang w:val="en-GB"/>
        </w:rPr>
      </w:pPr>
      <w:bookmarkStart w:id="0" w:name="_GoBack"/>
      <w:bookmarkEnd w:id="0"/>
      <w:r w:rsidRPr="00547DD8">
        <w:rPr>
          <w:rFonts w:ascii="Times New Roman" w:hAnsi="Times New Roman"/>
          <w:b/>
          <w:smallCaps/>
          <w:sz w:val="26"/>
          <w:szCs w:val="28"/>
          <w:lang w:val="en-GB"/>
        </w:rPr>
        <w:t>Conclusions of the lii Cosac</w:t>
      </w:r>
    </w:p>
    <w:p w:rsidR="00B7077A" w:rsidRDefault="00B7077A" w:rsidP="0033050F">
      <w:pPr>
        <w:spacing w:after="0"/>
        <w:jc w:val="center"/>
        <w:rPr>
          <w:rFonts w:ascii="Times New Roman" w:hAnsi="Times New Roman"/>
          <w:i/>
          <w:smallCaps/>
          <w:sz w:val="26"/>
          <w:szCs w:val="28"/>
          <w:lang w:val="en-GB"/>
        </w:rPr>
      </w:pPr>
      <w:r w:rsidRPr="00547DD8">
        <w:rPr>
          <w:rFonts w:ascii="Times New Roman" w:hAnsi="Times New Roman"/>
          <w:i/>
          <w:sz w:val="26"/>
          <w:szCs w:val="28"/>
          <w:lang w:val="en-GB"/>
        </w:rPr>
        <w:t>Rome</w:t>
      </w:r>
      <w:r w:rsidRPr="00547DD8">
        <w:rPr>
          <w:rFonts w:ascii="Times New Roman" w:hAnsi="Times New Roman"/>
          <w:i/>
          <w:smallCaps/>
          <w:sz w:val="26"/>
          <w:szCs w:val="28"/>
          <w:lang w:val="en-GB"/>
        </w:rPr>
        <w:t xml:space="preserve">, 30 </w:t>
      </w:r>
      <w:r w:rsidRPr="00547DD8">
        <w:rPr>
          <w:rFonts w:ascii="Times New Roman" w:hAnsi="Times New Roman"/>
          <w:i/>
          <w:sz w:val="26"/>
          <w:szCs w:val="28"/>
          <w:lang w:val="en-GB"/>
        </w:rPr>
        <w:t>November - 2 December</w:t>
      </w:r>
      <w:r w:rsidRPr="00547DD8">
        <w:rPr>
          <w:rFonts w:ascii="Times New Roman" w:hAnsi="Times New Roman"/>
          <w:i/>
          <w:smallCaps/>
          <w:sz w:val="26"/>
          <w:szCs w:val="28"/>
          <w:lang w:val="en-GB"/>
        </w:rPr>
        <w:t xml:space="preserve"> 2014</w:t>
      </w:r>
    </w:p>
    <w:p w:rsidR="00187058" w:rsidRPr="002C544B" w:rsidRDefault="00187058" w:rsidP="0033050F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</w:p>
    <w:p w:rsidR="00B7077A" w:rsidRPr="002C544B" w:rsidRDefault="00B7077A" w:rsidP="0033050F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</w:p>
    <w:p w:rsidR="00B7077A" w:rsidRPr="00547DD8" w:rsidRDefault="00B7077A" w:rsidP="00A21EBE">
      <w:pPr>
        <w:spacing w:after="120"/>
        <w:jc w:val="both"/>
        <w:rPr>
          <w:rFonts w:ascii="Times New Roman" w:hAnsi="Times New Roman"/>
          <w:b/>
          <w:sz w:val="26"/>
          <w:szCs w:val="28"/>
          <w:lang w:val="en-GB"/>
        </w:rPr>
      </w:pPr>
      <w:r w:rsidRPr="00547DD8">
        <w:rPr>
          <w:rFonts w:ascii="Times New Roman" w:hAnsi="Times New Roman"/>
          <w:b/>
          <w:sz w:val="26"/>
          <w:szCs w:val="28"/>
          <w:lang w:val="en-GB"/>
        </w:rPr>
        <w:t>1. The Bi-annual Report</w:t>
      </w:r>
    </w:p>
    <w:p w:rsidR="00D574A5" w:rsidRDefault="00B7077A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 xml:space="preserve">1.1. COSAC welcomes the </w:t>
      </w:r>
      <w:r w:rsidR="00D574A5">
        <w:rPr>
          <w:rFonts w:ascii="Times New Roman" w:hAnsi="Times New Roman"/>
          <w:sz w:val="26"/>
          <w:szCs w:val="28"/>
          <w:lang w:val="en-GB"/>
        </w:rPr>
        <w:t xml:space="preserve">issuance of </w:t>
      </w:r>
      <w:r w:rsidRPr="00547DD8">
        <w:rPr>
          <w:rFonts w:ascii="Times New Roman" w:hAnsi="Times New Roman"/>
          <w:sz w:val="26"/>
          <w:szCs w:val="28"/>
          <w:lang w:val="en-GB"/>
        </w:rPr>
        <w:t>22</w:t>
      </w:r>
      <w:r w:rsidRPr="00547DD8">
        <w:rPr>
          <w:rFonts w:ascii="Times New Roman" w:hAnsi="Times New Roman"/>
          <w:sz w:val="26"/>
          <w:szCs w:val="28"/>
          <w:vertAlign w:val="superscript"/>
          <w:lang w:val="en-GB"/>
        </w:rPr>
        <w:t>nd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Bi-annual Report prepared by the COSAC Secretariat and warmly thanks the Secretariat for its excellent work. </w:t>
      </w:r>
    </w:p>
    <w:p w:rsidR="00B7077A" w:rsidRPr="00547DD8" w:rsidRDefault="00D574A5" w:rsidP="0033050F">
      <w:pPr>
        <w:spacing w:after="0"/>
        <w:ind w:firstLine="708"/>
        <w:jc w:val="both"/>
        <w:rPr>
          <w:rFonts w:ascii="Times New Roman" w:hAnsi="Times New Roman" w:cs="Calibri"/>
          <w:sz w:val="26"/>
          <w:szCs w:val="24"/>
          <w:lang w:val="en-GB"/>
        </w:rPr>
      </w:pPr>
      <w:r>
        <w:rPr>
          <w:rFonts w:ascii="Times New Roman" w:hAnsi="Times New Roman"/>
          <w:sz w:val="26"/>
          <w:szCs w:val="28"/>
          <w:lang w:val="en-GB"/>
        </w:rPr>
        <w:t xml:space="preserve">1.2. 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 xml:space="preserve">The Report </w:t>
      </w:r>
      <w:r w:rsidR="009D1AE4">
        <w:rPr>
          <w:rFonts w:ascii="Times New Roman" w:hAnsi="Times New Roman"/>
          <w:sz w:val="26"/>
          <w:szCs w:val="28"/>
          <w:lang w:val="en-GB"/>
        </w:rPr>
        <w:t>provid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>es</w:t>
      </w:r>
      <w:r w:rsidR="00D63DAF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="009D1AE4">
        <w:rPr>
          <w:rFonts w:ascii="Times New Roman" w:hAnsi="Times New Roman"/>
          <w:sz w:val="26"/>
          <w:szCs w:val="28"/>
          <w:lang w:val="en-GB"/>
        </w:rPr>
        <w:t xml:space="preserve">useful information on 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>EU Parliaments' proposals</w:t>
      </w:r>
      <w:r>
        <w:rPr>
          <w:rFonts w:ascii="Times New Roman" w:hAnsi="Times New Roman"/>
          <w:sz w:val="26"/>
          <w:szCs w:val="28"/>
          <w:lang w:val="en-GB"/>
        </w:rPr>
        <w:t>: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>
        <w:rPr>
          <w:rFonts w:ascii="Times New Roman" w:hAnsi="Times New Roman"/>
          <w:sz w:val="26"/>
          <w:szCs w:val="28"/>
          <w:lang w:val="en-GB"/>
        </w:rPr>
        <w:t xml:space="preserve">a) </w:t>
      </w:r>
      <w:r w:rsidR="004850BC">
        <w:rPr>
          <w:rFonts w:ascii="Times New Roman" w:hAnsi="Times New Roman"/>
          <w:sz w:val="26"/>
          <w:szCs w:val="28"/>
          <w:lang w:val="en-GB"/>
        </w:rPr>
        <w:t xml:space="preserve">on 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 xml:space="preserve">the mid-term review of Europe 2020, </w:t>
      </w:r>
      <w:r w:rsidR="004850BC">
        <w:rPr>
          <w:rFonts w:ascii="Times New Roman" w:hAnsi="Times New Roman"/>
          <w:sz w:val="26"/>
          <w:szCs w:val="28"/>
          <w:lang w:val="en-GB"/>
        </w:rPr>
        <w:t>which will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 xml:space="preserve"> be completed in Spring 2015</w:t>
      </w:r>
      <w:r w:rsidR="008D4925">
        <w:rPr>
          <w:rFonts w:ascii="Times New Roman" w:hAnsi="Times New Roman"/>
          <w:sz w:val="26"/>
          <w:szCs w:val="28"/>
          <w:lang w:val="en-GB"/>
        </w:rPr>
        <w:t>;</w:t>
      </w:r>
      <w:r w:rsidR="008D4925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>
        <w:rPr>
          <w:rFonts w:ascii="Times New Roman" w:hAnsi="Times New Roman"/>
          <w:sz w:val="26"/>
          <w:szCs w:val="28"/>
          <w:lang w:val="en-GB"/>
        </w:rPr>
        <w:t xml:space="preserve">b) </w:t>
      </w:r>
      <w:r w:rsidR="004850BC">
        <w:rPr>
          <w:rFonts w:ascii="Times New Roman" w:hAnsi="Times New Roman"/>
          <w:sz w:val="26"/>
          <w:szCs w:val="28"/>
          <w:lang w:val="en-GB"/>
        </w:rPr>
        <w:t xml:space="preserve">on the future of the EU </w:t>
      </w:r>
      <w:r w:rsidR="00C74C65">
        <w:rPr>
          <w:rFonts w:ascii="Times New Roman" w:hAnsi="Times New Roman"/>
          <w:sz w:val="26"/>
          <w:szCs w:val="28"/>
          <w:lang w:val="en-GB"/>
        </w:rPr>
        <w:t xml:space="preserve">- </w:t>
      </w:r>
      <w:r w:rsidR="004850BC">
        <w:rPr>
          <w:rFonts w:ascii="Times New Roman" w:hAnsi="Times New Roman"/>
          <w:sz w:val="26"/>
          <w:szCs w:val="28"/>
          <w:lang w:val="en-GB"/>
        </w:rPr>
        <w:t xml:space="preserve">focusing on significant innovations and new trends </w:t>
      </w:r>
      <w:r w:rsidR="00C74C65">
        <w:rPr>
          <w:rFonts w:ascii="Times New Roman" w:hAnsi="Times New Roman"/>
          <w:sz w:val="26"/>
          <w:szCs w:val="28"/>
          <w:lang w:val="en-GB"/>
        </w:rPr>
        <w:t xml:space="preserve">- </w:t>
      </w:r>
      <w:r w:rsidR="004850BC">
        <w:rPr>
          <w:rFonts w:ascii="Times New Roman" w:hAnsi="Times New Roman"/>
          <w:sz w:val="26"/>
          <w:szCs w:val="28"/>
          <w:lang w:val="en-GB"/>
        </w:rPr>
        <w:t xml:space="preserve">and on 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 xml:space="preserve">the impact of the </w:t>
      </w:r>
      <w:r w:rsidR="00D63DAF" w:rsidRPr="00547DD8">
        <w:rPr>
          <w:rFonts w:ascii="Times New Roman" w:hAnsi="Times New Roman"/>
          <w:sz w:val="26"/>
          <w:szCs w:val="28"/>
          <w:lang w:val="en-GB"/>
        </w:rPr>
        <w:t xml:space="preserve">developments of the </w:t>
      </w:r>
      <w:r w:rsidR="00B7077A" w:rsidRPr="00547DD8">
        <w:rPr>
          <w:rFonts w:ascii="Times New Roman" w:hAnsi="Times New Roman"/>
          <w:sz w:val="26"/>
          <w:szCs w:val="28"/>
          <w:lang w:val="en-GB"/>
        </w:rPr>
        <w:t>European integration process on EU Parliaments five years after the entry into force of the Lisbon Treaty</w:t>
      </w:r>
      <w:r w:rsidR="008D4925">
        <w:rPr>
          <w:rFonts w:ascii="Times New Roman" w:hAnsi="Times New Roman"/>
          <w:sz w:val="26"/>
          <w:szCs w:val="28"/>
          <w:lang w:val="en-GB"/>
        </w:rPr>
        <w:t>;</w:t>
      </w:r>
      <w:r w:rsidR="008D4925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>
        <w:rPr>
          <w:rFonts w:ascii="Times New Roman" w:hAnsi="Times New Roman"/>
          <w:sz w:val="26"/>
          <w:szCs w:val="28"/>
          <w:lang w:val="en-GB"/>
        </w:rPr>
        <w:t xml:space="preserve">c) </w:t>
      </w:r>
      <w:r w:rsidR="004850BC">
        <w:rPr>
          <w:rFonts w:ascii="Times New Roman" w:hAnsi="Times New Roman"/>
          <w:sz w:val="26"/>
          <w:szCs w:val="28"/>
          <w:lang w:val="en-GB"/>
        </w:rPr>
        <w:t xml:space="preserve">on </w:t>
      </w:r>
      <w:r w:rsidR="00B7077A" w:rsidRPr="00547DD8">
        <w:rPr>
          <w:rFonts w:ascii="Times New Roman" w:hAnsi="Times New Roman" w:cs="Calibri"/>
          <w:sz w:val="26"/>
          <w:szCs w:val="24"/>
          <w:lang w:val="en-GB"/>
        </w:rPr>
        <w:t>EU</w:t>
      </w:r>
      <w:r w:rsidR="009D1AE4">
        <w:rPr>
          <w:rFonts w:ascii="Times New Roman" w:hAnsi="Times New Roman" w:cs="Calibri"/>
          <w:sz w:val="26"/>
          <w:szCs w:val="24"/>
          <w:lang w:val="en-GB"/>
        </w:rPr>
        <w:t xml:space="preserve"> Parliaments' role regarding EU</w:t>
      </w:r>
      <w:r w:rsidR="00B7077A" w:rsidRPr="00547DD8">
        <w:rPr>
          <w:rFonts w:ascii="Times New Roman" w:hAnsi="Times New Roman" w:cs="Calibri"/>
          <w:sz w:val="26"/>
          <w:szCs w:val="24"/>
          <w:lang w:val="en-GB"/>
        </w:rPr>
        <w:t xml:space="preserve"> relations with Mediterranean partners</w:t>
      </w:r>
      <w:r>
        <w:rPr>
          <w:rFonts w:ascii="Times New Roman" w:hAnsi="Times New Roman" w:cs="Calibri"/>
          <w:sz w:val="26"/>
          <w:szCs w:val="24"/>
          <w:lang w:val="en-GB"/>
        </w:rPr>
        <w:t xml:space="preserve">; d) on </w:t>
      </w:r>
      <w:r w:rsidR="00B7077A" w:rsidRPr="00547DD8">
        <w:rPr>
          <w:rFonts w:ascii="Times New Roman" w:hAnsi="Times New Roman" w:cs="Calibri"/>
          <w:sz w:val="26"/>
          <w:szCs w:val="24"/>
          <w:lang w:val="en-GB"/>
        </w:rPr>
        <w:t>whether EU Parliaments have scrutinised the role, functions and accountability mechanisms of EU agencies.</w:t>
      </w:r>
    </w:p>
    <w:p w:rsidR="00B04AE5" w:rsidRPr="00547DD8" w:rsidRDefault="00B04AE5" w:rsidP="00A21EBE">
      <w:pPr>
        <w:spacing w:before="240" w:after="120"/>
        <w:jc w:val="both"/>
        <w:rPr>
          <w:rFonts w:ascii="Times New Roman" w:hAnsi="Times New Roman"/>
          <w:b/>
          <w:sz w:val="26"/>
          <w:szCs w:val="28"/>
          <w:lang w:val="en-GB"/>
        </w:rPr>
      </w:pPr>
      <w:r w:rsidRPr="00547DD8">
        <w:rPr>
          <w:rFonts w:ascii="Times New Roman" w:hAnsi="Times New Roman"/>
          <w:b/>
          <w:sz w:val="26"/>
          <w:szCs w:val="28"/>
          <w:lang w:val="en-GB"/>
        </w:rPr>
        <w:t>2. New instruments and ideas aimed at involving national Parliaments in the EU decision-making process</w:t>
      </w:r>
    </w:p>
    <w:p w:rsidR="002563CE" w:rsidRPr="00E75FDD" w:rsidRDefault="002563CE" w:rsidP="0033050F">
      <w:pPr>
        <w:spacing w:after="0"/>
        <w:ind w:firstLine="708"/>
        <w:jc w:val="both"/>
        <w:rPr>
          <w:rFonts w:ascii="Times New Roman" w:hAnsi="Times New Roman" w:cs="Calibri"/>
          <w:color w:val="000000"/>
          <w:sz w:val="26"/>
          <w:szCs w:val="24"/>
          <w:lang w:val="en-GB"/>
        </w:rPr>
      </w:pP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2.1. COSAC welcomes the increasing engagement of national Parliaments in the European decision-making process. To this end, a special emphasis should be </w:t>
      </w:r>
      <w:r w:rsidR="00D574A5">
        <w:rPr>
          <w:rFonts w:ascii="Times New Roman" w:hAnsi="Times New Roman" w:cs="Calibri"/>
          <w:color w:val="000000"/>
          <w:sz w:val="26"/>
          <w:szCs w:val="24"/>
          <w:lang w:val="en-GB"/>
        </w:rPr>
        <w:t>put</w:t>
      </w:r>
      <w:r w:rsidR="00D574A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on holding 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debates with their </w:t>
      </w:r>
      <w:r w:rsidR="00D574A5"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respective 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Governments before and</w:t>
      </w:r>
      <w:r w:rsidR="00A67BF1"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/or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after European Council meetings</w:t>
      </w:r>
      <w:r w:rsidR="007B295D"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, and engaging in the political dialogue with the Commission early in the policy-formation process,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with the aim of influencing their respective national position</w:t>
      </w:r>
      <w:r w:rsidR="00D63DAF"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s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. COSAC bi-annual meetings </w:t>
      </w:r>
      <w:r w:rsidR="002B51E8"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c</w:t>
      </w:r>
      <w:r w:rsidRPr="00E75FDD">
        <w:rPr>
          <w:rFonts w:ascii="Times New Roman" w:hAnsi="Times New Roman" w:cs="Calibri"/>
          <w:color w:val="000000"/>
          <w:sz w:val="26"/>
          <w:szCs w:val="24"/>
          <w:lang w:val="en-GB"/>
        </w:rPr>
        <w:t>ould also be convened shortly before European Council meetings.</w:t>
      </w:r>
    </w:p>
    <w:p w:rsidR="00B4216A" w:rsidRPr="00547DD8" w:rsidRDefault="00B04AE5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>2.</w:t>
      </w:r>
      <w:r w:rsidR="00215C46" w:rsidRPr="00547DD8">
        <w:rPr>
          <w:rFonts w:ascii="Times New Roman" w:hAnsi="Times New Roman"/>
          <w:sz w:val="26"/>
          <w:szCs w:val="28"/>
          <w:lang w:val="en-GB"/>
        </w:rPr>
        <w:t>2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. COSAC notes that the majority of Parliaments/Chambers favoured the idea of creating new instruments aimed at </w:t>
      </w:r>
      <w:r w:rsidR="00D574A5">
        <w:rPr>
          <w:rFonts w:ascii="Times New Roman" w:hAnsi="Times New Roman"/>
          <w:sz w:val="26"/>
          <w:szCs w:val="28"/>
          <w:lang w:val="en-GB"/>
        </w:rPr>
        <w:t xml:space="preserve">better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involving national Parliaments in </w:t>
      </w:r>
      <w:r w:rsidR="00D574A5">
        <w:rPr>
          <w:rFonts w:ascii="Times New Roman" w:hAnsi="Times New Roman"/>
          <w:sz w:val="26"/>
          <w:szCs w:val="28"/>
          <w:lang w:val="en-GB"/>
        </w:rPr>
        <w:t xml:space="preserve">the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EU decision-making process without any </w:t>
      </w:r>
      <w:r w:rsidR="00D574A5">
        <w:rPr>
          <w:rFonts w:ascii="Times New Roman" w:hAnsi="Times New Roman"/>
          <w:sz w:val="26"/>
          <w:szCs w:val="28"/>
          <w:lang w:val="en-GB"/>
        </w:rPr>
        <w:t xml:space="preserve">need for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formal Treaty changes. </w:t>
      </w:r>
      <w:r w:rsidR="00D574A5">
        <w:rPr>
          <w:rFonts w:ascii="Times New Roman" w:hAnsi="Times New Roman"/>
          <w:sz w:val="26"/>
          <w:szCs w:val="28"/>
          <w:lang w:val="en-GB"/>
        </w:rPr>
        <w:t>Among t</w:t>
      </w:r>
      <w:r w:rsidR="00D574A5" w:rsidRPr="00547DD8">
        <w:rPr>
          <w:rFonts w:ascii="Times New Roman" w:hAnsi="Times New Roman"/>
          <w:sz w:val="26"/>
          <w:szCs w:val="28"/>
          <w:lang w:val="en-GB"/>
        </w:rPr>
        <w:t xml:space="preserve">he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ideas that could be further explored </w:t>
      </w:r>
      <w:r w:rsidR="0023361C">
        <w:rPr>
          <w:rFonts w:ascii="Times New Roman" w:hAnsi="Times New Roman"/>
          <w:sz w:val="26"/>
          <w:szCs w:val="28"/>
          <w:lang w:val="en-GB"/>
        </w:rPr>
        <w:t>were</w:t>
      </w:r>
      <w:r w:rsidR="0023361C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the introduction of </w:t>
      </w:r>
      <w:r w:rsidR="00A94A0B" w:rsidRPr="00A94A0B">
        <w:rPr>
          <w:rFonts w:ascii="Times New Roman" w:hAnsi="Times New Roman"/>
          <w:sz w:val="26"/>
          <w:szCs w:val="28"/>
          <w:lang w:val="en-GB"/>
        </w:rPr>
        <w:t xml:space="preserve">a </w:t>
      </w:r>
      <w:r w:rsidR="00E47B8A">
        <w:rPr>
          <w:rFonts w:ascii="Times New Roman" w:hAnsi="Times New Roman"/>
          <w:sz w:val="26"/>
          <w:szCs w:val="28"/>
          <w:lang w:val="en-GB"/>
        </w:rPr>
        <w:t xml:space="preserve">possible </w:t>
      </w:r>
      <w:r w:rsidR="00A94A0B" w:rsidRPr="00A94A0B">
        <w:rPr>
          <w:rFonts w:ascii="Times New Roman" w:hAnsi="Times New Roman"/>
          <w:sz w:val="26"/>
          <w:szCs w:val="28"/>
          <w:lang w:val="en-GB"/>
        </w:rPr>
        <w:t>"green card" procedure</w:t>
      </w:r>
      <w:r w:rsidR="00D574A5">
        <w:rPr>
          <w:rFonts w:ascii="Times New Roman" w:hAnsi="Times New Roman"/>
          <w:sz w:val="26"/>
          <w:szCs w:val="28"/>
          <w:lang w:val="en-GB"/>
        </w:rPr>
        <w:t>,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to </w:t>
      </w:r>
      <w:r w:rsidR="00D574A5">
        <w:rPr>
          <w:rFonts w:ascii="Times New Roman" w:hAnsi="Times New Roman"/>
          <w:sz w:val="26"/>
          <w:szCs w:val="28"/>
          <w:lang w:val="en-GB"/>
        </w:rPr>
        <w:t>grant</w:t>
      </w:r>
      <w:r w:rsidR="00D574A5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national Parliaments the </w:t>
      </w:r>
      <w:r w:rsidR="00D574A5">
        <w:rPr>
          <w:rFonts w:ascii="Times New Roman" w:hAnsi="Times New Roman"/>
          <w:sz w:val="26"/>
          <w:szCs w:val="28"/>
          <w:lang w:val="en-GB"/>
        </w:rPr>
        <w:t>a</w:t>
      </w:r>
      <w:r w:rsidR="00D574A5" w:rsidRPr="00547DD8">
        <w:rPr>
          <w:rFonts w:ascii="Times New Roman" w:hAnsi="Times New Roman"/>
          <w:sz w:val="26"/>
          <w:szCs w:val="28"/>
          <w:lang w:val="en-GB"/>
        </w:rPr>
        <w:t xml:space="preserve">bility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to recommend new legislation, and the enhancement of </w:t>
      </w:r>
      <w:r w:rsidR="00D63DAF" w:rsidRPr="00547DD8">
        <w:rPr>
          <w:rFonts w:ascii="Times New Roman" w:hAnsi="Times New Roman"/>
          <w:sz w:val="26"/>
          <w:szCs w:val="28"/>
          <w:lang w:val="en-GB"/>
        </w:rPr>
        <w:t xml:space="preserve">the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cooperation between national Parliaments and the European Parliament </w:t>
      </w:r>
      <w:r w:rsidR="00650BC1">
        <w:rPr>
          <w:rFonts w:ascii="Times New Roman" w:hAnsi="Times New Roman"/>
          <w:sz w:val="26"/>
          <w:szCs w:val="28"/>
          <w:lang w:val="en-GB"/>
        </w:rPr>
        <w:t xml:space="preserve">by means of a better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structured political dialogue on legislative </w:t>
      </w:r>
      <w:r w:rsidR="00AA0449" w:rsidRPr="00547DD8">
        <w:rPr>
          <w:rFonts w:ascii="Times New Roman" w:hAnsi="Times New Roman"/>
          <w:sz w:val="26"/>
          <w:szCs w:val="28"/>
          <w:lang w:val="en-GB"/>
        </w:rPr>
        <w:t>and non</w:t>
      </w:r>
      <w:r w:rsidR="00961C20">
        <w:rPr>
          <w:rFonts w:ascii="Times New Roman" w:hAnsi="Times New Roman"/>
          <w:sz w:val="26"/>
          <w:szCs w:val="28"/>
          <w:lang w:val="en-GB"/>
        </w:rPr>
        <w:t>-</w:t>
      </w:r>
      <w:r w:rsidR="00AA0449" w:rsidRPr="00547DD8">
        <w:rPr>
          <w:rFonts w:ascii="Times New Roman" w:hAnsi="Times New Roman"/>
          <w:sz w:val="26"/>
          <w:szCs w:val="28"/>
          <w:lang w:val="en-GB"/>
        </w:rPr>
        <w:t xml:space="preserve">legislative acts, </w:t>
      </w:r>
      <w:r w:rsidR="0023361C">
        <w:rPr>
          <w:rFonts w:ascii="Times New Roman" w:hAnsi="Times New Roman"/>
          <w:sz w:val="26"/>
          <w:szCs w:val="28"/>
          <w:lang w:val="en-GB"/>
        </w:rPr>
        <w:t>that do not raise</w:t>
      </w:r>
      <w:r w:rsidR="00650BC1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="00D63DAF" w:rsidRPr="00547DD8">
        <w:rPr>
          <w:rFonts w:ascii="Times New Roman" w:hAnsi="Times New Roman"/>
          <w:sz w:val="26"/>
          <w:szCs w:val="28"/>
          <w:lang w:val="en-GB"/>
        </w:rPr>
        <w:t xml:space="preserve">subsidiarity </w:t>
      </w:r>
      <w:r w:rsidR="00650BC1">
        <w:rPr>
          <w:rFonts w:ascii="Times New Roman" w:hAnsi="Times New Roman"/>
          <w:sz w:val="26"/>
          <w:szCs w:val="28"/>
          <w:lang w:val="en-GB"/>
        </w:rPr>
        <w:t>issues</w:t>
      </w:r>
      <w:r w:rsidR="00AA0449" w:rsidRPr="00547DD8">
        <w:rPr>
          <w:rFonts w:ascii="Times New Roman" w:hAnsi="Times New Roman"/>
          <w:sz w:val="26"/>
          <w:szCs w:val="28"/>
          <w:lang w:val="en-GB"/>
        </w:rPr>
        <w:t>.</w:t>
      </w:r>
    </w:p>
    <w:p w:rsidR="005F2698" w:rsidRPr="00547DD8" w:rsidRDefault="00215C46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 xml:space="preserve">2.3. COSAC invites the European Parliament to take into account the opinions of national Parliaments </w:t>
      </w:r>
      <w:r w:rsidR="00E032E5">
        <w:rPr>
          <w:rFonts w:ascii="Times New Roman" w:hAnsi="Times New Roman"/>
          <w:sz w:val="26"/>
          <w:szCs w:val="28"/>
          <w:lang w:val="en-GB"/>
        </w:rPr>
        <w:t>on</w:t>
      </w:r>
      <w:r w:rsidR="00E032E5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the substance of draft legislative acts </w:t>
      </w:r>
      <w:r w:rsidR="00E032E5">
        <w:rPr>
          <w:rFonts w:ascii="Times New Roman" w:hAnsi="Times New Roman"/>
          <w:sz w:val="26"/>
          <w:szCs w:val="28"/>
          <w:lang w:val="en-GB"/>
        </w:rPr>
        <w:t>and/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or </w:t>
      </w:r>
      <w:r w:rsidR="00E032E5">
        <w:rPr>
          <w:rFonts w:ascii="Times New Roman" w:hAnsi="Times New Roman"/>
          <w:sz w:val="26"/>
          <w:szCs w:val="28"/>
          <w:lang w:val="en-GB"/>
        </w:rPr>
        <w:t xml:space="preserve">of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other </w:t>
      </w:r>
      <w:r w:rsidR="005F2698" w:rsidRPr="00547DD8">
        <w:rPr>
          <w:rFonts w:ascii="Times New Roman" w:hAnsi="Times New Roman"/>
          <w:sz w:val="26"/>
          <w:szCs w:val="28"/>
          <w:lang w:val="en-GB"/>
        </w:rPr>
        <w:t xml:space="preserve">European </w:t>
      </w:r>
      <w:r w:rsidRPr="00547DD8">
        <w:rPr>
          <w:rFonts w:ascii="Times New Roman" w:hAnsi="Times New Roman"/>
          <w:sz w:val="26"/>
          <w:szCs w:val="28"/>
          <w:lang w:val="en-GB"/>
        </w:rPr>
        <w:t>document</w:t>
      </w:r>
      <w:r w:rsidR="00D72813">
        <w:rPr>
          <w:rFonts w:ascii="Times New Roman" w:hAnsi="Times New Roman"/>
          <w:sz w:val="26"/>
          <w:szCs w:val="28"/>
          <w:lang w:val="en-GB"/>
        </w:rPr>
        <w:t>s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="00D63DAF" w:rsidRPr="00547DD8">
        <w:rPr>
          <w:rFonts w:ascii="Times New Roman" w:hAnsi="Times New Roman"/>
          <w:sz w:val="26"/>
          <w:szCs w:val="28"/>
          <w:lang w:val="en-GB"/>
        </w:rPr>
        <w:t>under consideration</w:t>
      </w:r>
      <w:r w:rsidR="00621D3C" w:rsidRPr="00547DD8">
        <w:rPr>
          <w:rFonts w:ascii="Times New Roman" w:hAnsi="Times New Roman"/>
          <w:sz w:val="26"/>
          <w:szCs w:val="28"/>
          <w:lang w:val="en-GB"/>
        </w:rPr>
        <w:t>.</w:t>
      </w:r>
    </w:p>
    <w:p w:rsidR="002563CE" w:rsidRPr="00547DD8" w:rsidRDefault="002563CE" w:rsidP="0033050F">
      <w:pPr>
        <w:spacing w:after="0"/>
        <w:ind w:firstLine="708"/>
        <w:jc w:val="both"/>
        <w:rPr>
          <w:rFonts w:ascii="Times New Roman" w:hAnsi="Times New Roman" w:cs="Calibri"/>
          <w:color w:val="000000"/>
          <w:sz w:val="26"/>
          <w:szCs w:val="24"/>
          <w:lang w:val="en-GB"/>
        </w:rPr>
      </w:pP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lastRenderedPageBreak/>
        <w:t>2.</w:t>
      </w:r>
      <w:r w:rsidR="00215C46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4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. COSAC note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>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that fourteen Parliaments/Chambers ha</w:t>
      </w:r>
      <w:r w:rsidR="00D63DAF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ve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developed specific tools or procedures </w:t>
      </w:r>
      <w:r w:rsidR="00D63DAF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with regard to </w:t>
      </w:r>
      <w:r w:rsidR="00E032E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stipulati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>ng</w:t>
      </w:r>
      <w:r w:rsidR="00E032E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intergovernmental treaties in the field of economic governance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>,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and twelve Parliaments/Chambers </w:t>
      </w:r>
      <w:r w:rsidR="00E032E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ha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>ve</w:t>
      </w:r>
      <w:r w:rsidR="00E032E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developed specific tools or procedures 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on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the involvement of Parliaments in trade agreement negotiations. COSAC invites all other Parliaments/Chambers to </w:t>
      </w:r>
      <w:r w:rsidR="00A67BF1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make full use of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their </w:t>
      </w:r>
      <w:r w:rsidR="00A67BF1">
        <w:rPr>
          <w:rFonts w:ascii="Times New Roman" w:hAnsi="Times New Roman" w:cs="Calibri"/>
          <w:color w:val="000000"/>
          <w:sz w:val="26"/>
          <w:szCs w:val="24"/>
          <w:lang w:val="en-GB"/>
        </w:rPr>
        <w:t>power</w:t>
      </w:r>
      <w:r w:rsidR="00A67BF1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="00547DD8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vis-à-vis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their respective Government</w:t>
      </w:r>
      <w:r w:rsidR="00D63DAF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s with </w:t>
      </w:r>
      <w:r w:rsidR="00547DD8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regard</w:t>
      </w:r>
      <w:r w:rsidR="00D63DAF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to such issues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, especially 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>where</w:t>
      </w:r>
      <w:r w:rsidR="00E032E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the Transatlantic Trade and Investment Partnership (TTIP) negotiations</w:t>
      </w:r>
      <w:r w:rsidR="00E032E5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are concerned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.</w:t>
      </w:r>
    </w:p>
    <w:p w:rsidR="00F2775B" w:rsidRPr="00547DD8" w:rsidRDefault="00AA0449" w:rsidP="00A21EBE">
      <w:pPr>
        <w:spacing w:before="240" w:after="120"/>
        <w:jc w:val="both"/>
        <w:rPr>
          <w:rFonts w:ascii="Times New Roman" w:hAnsi="Times New Roman"/>
          <w:b/>
          <w:sz w:val="26"/>
          <w:szCs w:val="28"/>
          <w:lang w:val="en-GB"/>
        </w:rPr>
      </w:pPr>
      <w:r w:rsidRPr="00547DD8">
        <w:rPr>
          <w:rFonts w:ascii="Times New Roman" w:hAnsi="Times New Roman"/>
          <w:b/>
          <w:sz w:val="26"/>
          <w:szCs w:val="28"/>
          <w:lang w:val="en-GB"/>
        </w:rPr>
        <w:t xml:space="preserve">3. More efficient use of subsidiarity checks </w:t>
      </w:r>
    </w:p>
    <w:p w:rsidR="002563CE" w:rsidRPr="00547DD8" w:rsidRDefault="002563CE" w:rsidP="0033050F">
      <w:pPr>
        <w:spacing w:after="0"/>
        <w:ind w:firstLine="708"/>
        <w:jc w:val="both"/>
        <w:rPr>
          <w:rFonts w:ascii="Times New Roman" w:hAnsi="Times New Roman" w:cs="Calibri"/>
          <w:color w:val="000000"/>
          <w:sz w:val="26"/>
          <w:szCs w:val="24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 xml:space="preserve">3.1. COSAC </w:t>
      </w:r>
      <w:r w:rsidR="002B51E8" w:rsidRPr="00547DD8">
        <w:rPr>
          <w:rFonts w:ascii="Times New Roman" w:hAnsi="Times New Roman"/>
          <w:sz w:val="26"/>
          <w:szCs w:val="28"/>
          <w:lang w:val="en-GB"/>
        </w:rPr>
        <w:t xml:space="preserve">notes that most </w:t>
      </w:r>
      <w:r w:rsidR="00961C20">
        <w:rPr>
          <w:rFonts w:ascii="Times New Roman" w:hAnsi="Times New Roman"/>
          <w:sz w:val="26"/>
          <w:szCs w:val="28"/>
          <w:lang w:val="en-GB"/>
        </w:rPr>
        <w:t>n</w:t>
      </w:r>
      <w:r w:rsidR="002B51E8" w:rsidRPr="00547DD8">
        <w:rPr>
          <w:rFonts w:ascii="Times New Roman" w:hAnsi="Times New Roman"/>
          <w:sz w:val="26"/>
          <w:szCs w:val="28"/>
          <w:lang w:val="en-GB"/>
        </w:rPr>
        <w:t xml:space="preserve">ational Parliaments/Chambers </w:t>
      </w:r>
      <w:r w:rsidR="0054185C" w:rsidRPr="00547DD8">
        <w:rPr>
          <w:rFonts w:ascii="Times New Roman" w:hAnsi="Times New Roman"/>
          <w:sz w:val="26"/>
          <w:szCs w:val="28"/>
          <w:lang w:val="en-GB"/>
        </w:rPr>
        <w:t>consider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subsidiarity checks an important tool</w:t>
      </w:r>
      <w:r w:rsidR="00A507E3">
        <w:rPr>
          <w:rFonts w:ascii="Times New Roman" w:hAnsi="Times New Roman"/>
          <w:sz w:val="26"/>
          <w:szCs w:val="28"/>
          <w:lang w:val="en-GB"/>
        </w:rPr>
        <w:t>, together with political dialogue,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="00A507E3">
        <w:rPr>
          <w:rFonts w:ascii="Times New Roman" w:hAnsi="Times New Roman"/>
          <w:sz w:val="26"/>
          <w:szCs w:val="28"/>
          <w:lang w:val="en-GB"/>
        </w:rPr>
        <w:t xml:space="preserve">towards influencing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the content of the EU policies and decisions. COSAC note</w:t>
      </w:r>
      <w:r w:rsidR="00657C95">
        <w:rPr>
          <w:rFonts w:ascii="Times New Roman" w:hAnsi="Times New Roman" w:cs="Calibri"/>
          <w:color w:val="000000"/>
          <w:sz w:val="26"/>
          <w:szCs w:val="24"/>
          <w:lang w:val="en-GB"/>
        </w:rPr>
        <w:t>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, however, that some Parliament</w:t>
      </w:r>
      <w:r w:rsidR="002B51E8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/Chamber</w:t>
      </w:r>
      <w:r w:rsidR="002B51E8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s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="00657C95">
        <w:rPr>
          <w:rFonts w:ascii="Times New Roman" w:hAnsi="Times New Roman" w:cs="Calibri"/>
          <w:color w:val="000000"/>
          <w:sz w:val="26"/>
          <w:szCs w:val="24"/>
          <w:lang w:val="en-GB"/>
        </w:rPr>
        <w:t>view</w:t>
      </w:r>
      <w:r w:rsidR="00657C95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these checks </w:t>
      </w:r>
      <w:r w:rsidR="00657C95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as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not </w:t>
      </w:r>
      <w:r w:rsidR="00657C95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fully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satisfactory. </w:t>
      </w:r>
      <w:r w:rsidR="0054185C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Future </w:t>
      </w:r>
      <w:r w:rsidR="002B51E8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COSAC P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residencies are invited to explore further arrangements to make </w:t>
      </w:r>
      <w:r w:rsidR="006B78BD">
        <w:rPr>
          <w:rFonts w:ascii="Times New Roman" w:hAnsi="Times New Roman" w:cs="Calibri"/>
          <w:color w:val="000000"/>
          <w:sz w:val="26"/>
          <w:szCs w:val="24"/>
          <w:lang w:val="en-GB"/>
        </w:rPr>
        <w:t>such checks</w:t>
      </w:r>
      <w:r w:rsidR="006B78BD"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 xml:space="preserve"> </w:t>
      </w:r>
      <w:r w:rsidRPr="00547DD8">
        <w:rPr>
          <w:rFonts w:ascii="Times New Roman" w:hAnsi="Times New Roman" w:cs="Calibri"/>
          <w:color w:val="000000"/>
          <w:sz w:val="26"/>
          <w:szCs w:val="24"/>
          <w:lang w:val="en-GB"/>
        </w:rPr>
        <w:t>more effective.</w:t>
      </w:r>
    </w:p>
    <w:p w:rsidR="002563CE" w:rsidRPr="00547DD8" w:rsidRDefault="002317F7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>3.</w:t>
      </w:r>
      <w:r w:rsidR="002563CE" w:rsidRPr="00547DD8">
        <w:rPr>
          <w:rFonts w:ascii="Times New Roman" w:hAnsi="Times New Roman"/>
          <w:sz w:val="26"/>
          <w:szCs w:val="28"/>
          <w:lang w:val="en-GB"/>
        </w:rPr>
        <w:t>2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. Taking into account the </w:t>
      </w:r>
      <w:r w:rsidR="0054185C" w:rsidRPr="00547DD8">
        <w:rPr>
          <w:rFonts w:ascii="Times New Roman" w:hAnsi="Times New Roman"/>
          <w:sz w:val="26"/>
          <w:szCs w:val="28"/>
          <w:lang w:val="en-GB"/>
        </w:rPr>
        <w:t xml:space="preserve">replies </w:t>
      </w:r>
      <w:r w:rsidR="006D5468" w:rsidRPr="00547DD8">
        <w:rPr>
          <w:rFonts w:ascii="Times New Roman" w:hAnsi="Times New Roman"/>
          <w:sz w:val="26"/>
          <w:szCs w:val="28"/>
          <w:lang w:val="en-GB"/>
        </w:rPr>
        <w:t>to the 22</w:t>
      </w:r>
      <w:r w:rsidR="006D5468" w:rsidRPr="00547DD8">
        <w:rPr>
          <w:rFonts w:ascii="Times New Roman" w:hAnsi="Times New Roman"/>
          <w:sz w:val="26"/>
          <w:szCs w:val="28"/>
          <w:vertAlign w:val="superscript"/>
          <w:lang w:val="en-GB"/>
        </w:rPr>
        <w:t>nd</w:t>
      </w:r>
      <w:r w:rsidR="006D5468" w:rsidRPr="00547DD8">
        <w:rPr>
          <w:rFonts w:ascii="Times New Roman" w:hAnsi="Times New Roman"/>
          <w:sz w:val="26"/>
          <w:szCs w:val="28"/>
          <w:lang w:val="en-GB"/>
        </w:rPr>
        <w:t xml:space="preserve"> Bi-annual Report, </w:t>
      </w:r>
      <w:r w:rsidR="002B51E8" w:rsidRPr="00547DD8">
        <w:rPr>
          <w:rFonts w:ascii="Times New Roman" w:hAnsi="Times New Roman"/>
          <w:sz w:val="26"/>
          <w:szCs w:val="28"/>
          <w:lang w:val="en-GB"/>
        </w:rPr>
        <w:t xml:space="preserve">Parliaments/Chambers suggest that </w:t>
      </w:r>
      <w:r w:rsidR="006D5468" w:rsidRPr="00547DD8">
        <w:rPr>
          <w:rFonts w:ascii="Times New Roman" w:hAnsi="Times New Roman"/>
          <w:sz w:val="26"/>
          <w:szCs w:val="28"/>
          <w:lang w:val="en-GB"/>
        </w:rPr>
        <w:t xml:space="preserve">a more efficient use of subsidiarity checks may be </w:t>
      </w:r>
      <w:r w:rsidR="006B78BD">
        <w:rPr>
          <w:rFonts w:ascii="Times New Roman" w:hAnsi="Times New Roman"/>
          <w:sz w:val="26"/>
          <w:szCs w:val="28"/>
          <w:lang w:val="en-GB"/>
        </w:rPr>
        <w:t>achieved</w:t>
      </w:r>
      <w:r w:rsidR="00961C20">
        <w:rPr>
          <w:rFonts w:ascii="Times New Roman" w:hAnsi="Times New Roman"/>
          <w:sz w:val="26"/>
          <w:szCs w:val="28"/>
          <w:lang w:val="en-GB"/>
        </w:rPr>
        <w:t>, among others,</w:t>
      </w:r>
      <w:r w:rsidR="006D5468" w:rsidRPr="00547DD8">
        <w:rPr>
          <w:rFonts w:ascii="Times New Roman" w:hAnsi="Times New Roman"/>
          <w:sz w:val="26"/>
          <w:szCs w:val="28"/>
          <w:lang w:val="en-GB"/>
        </w:rPr>
        <w:t xml:space="preserve"> by:</w:t>
      </w:r>
    </w:p>
    <w:p w:rsidR="002563CE" w:rsidRPr="00547DD8" w:rsidRDefault="006D5468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 xml:space="preserve">- </w:t>
      </w:r>
      <w:r w:rsidR="006B78BD" w:rsidRPr="00547DD8">
        <w:rPr>
          <w:rFonts w:ascii="Times New Roman" w:hAnsi="Times New Roman"/>
          <w:sz w:val="26"/>
          <w:szCs w:val="28"/>
          <w:lang w:val="en-GB"/>
        </w:rPr>
        <w:t>prioritis</w:t>
      </w:r>
      <w:r w:rsidR="006B78BD">
        <w:rPr>
          <w:rFonts w:ascii="Times New Roman" w:hAnsi="Times New Roman"/>
          <w:sz w:val="26"/>
          <w:szCs w:val="28"/>
          <w:lang w:val="en-GB"/>
        </w:rPr>
        <w:t>ing</w:t>
      </w:r>
      <w:r w:rsidR="006B78BD" w:rsidRPr="00547DD8">
        <w:rPr>
          <w:rFonts w:ascii="Times New Roman" w:hAnsi="Times New Roman"/>
          <w:sz w:val="26"/>
          <w:szCs w:val="28"/>
          <w:lang w:val="en-GB"/>
        </w:rPr>
        <w:t xml:space="preserve"> </w:t>
      </w:r>
      <w:r w:rsidRPr="00547DD8">
        <w:rPr>
          <w:rFonts w:ascii="Times New Roman" w:hAnsi="Times New Roman"/>
          <w:sz w:val="26"/>
          <w:szCs w:val="28"/>
          <w:lang w:val="en-GB"/>
        </w:rPr>
        <w:t>proposals selected from the Commission's Annual Work Programme before 31</w:t>
      </w:r>
      <w:r w:rsidRPr="00547DD8">
        <w:rPr>
          <w:rFonts w:ascii="Times New Roman" w:hAnsi="Times New Roman"/>
          <w:sz w:val="26"/>
          <w:szCs w:val="28"/>
          <w:vertAlign w:val="superscript"/>
          <w:lang w:val="en-GB"/>
        </w:rPr>
        <w:t>st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 January;</w:t>
      </w:r>
    </w:p>
    <w:p w:rsidR="006D5468" w:rsidRPr="00547DD8" w:rsidRDefault="006D5468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 w:rsidRPr="00547DD8">
        <w:rPr>
          <w:rFonts w:ascii="Times New Roman" w:hAnsi="Times New Roman"/>
          <w:sz w:val="26"/>
          <w:szCs w:val="28"/>
          <w:lang w:val="en-GB"/>
        </w:rPr>
        <w:t xml:space="preserve">- </w:t>
      </w:r>
      <w:r w:rsidR="006B78BD">
        <w:rPr>
          <w:rFonts w:ascii="Times New Roman" w:hAnsi="Times New Roman"/>
          <w:sz w:val="26"/>
          <w:szCs w:val="28"/>
          <w:lang w:val="en-GB"/>
        </w:rPr>
        <w:t xml:space="preserve">giving out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early information on the findings of other Parliaments/Chambers, especially </w:t>
      </w:r>
      <w:r w:rsidR="00174384">
        <w:rPr>
          <w:rFonts w:ascii="Times New Roman" w:hAnsi="Times New Roman"/>
          <w:sz w:val="26"/>
          <w:szCs w:val="28"/>
          <w:lang w:val="en-GB"/>
        </w:rPr>
        <w:t xml:space="preserve">through </w:t>
      </w:r>
      <w:r w:rsidRPr="00547DD8">
        <w:rPr>
          <w:rFonts w:ascii="Times New Roman" w:hAnsi="Times New Roman"/>
          <w:sz w:val="26"/>
          <w:szCs w:val="28"/>
          <w:lang w:val="en-GB"/>
        </w:rPr>
        <w:t xml:space="preserve">IPEX and </w:t>
      </w:r>
      <w:r w:rsidR="002B51E8" w:rsidRPr="00547DD8">
        <w:rPr>
          <w:rFonts w:ascii="Times New Roman" w:hAnsi="Times New Roman"/>
          <w:sz w:val="26"/>
          <w:szCs w:val="28"/>
          <w:lang w:val="en-GB"/>
        </w:rPr>
        <w:t xml:space="preserve">the network </w:t>
      </w:r>
      <w:r w:rsidRPr="00547DD8">
        <w:rPr>
          <w:rFonts w:ascii="Times New Roman" w:hAnsi="Times New Roman"/>
          <w:sz w:val="26"/>
          <w:szCs w:val="28"/>
          <w:lang w:val="en-GB"/>
        </w:rPr>
        <w:t>of national Parliament representatives in Brussels.</w:t>
      </w:r>
    </w:p>
    <w:p w:rsidR="00AA0449" w:rsidRPr="00547DD8" w:rsidRDefault="00AA0449" w:rsidP="00A21EBE">
      <w:pPr>
        <w:spacing w:before="240" w:after="120"/>
        <w:jc w:val="both"/>
        <w:rPr>
          <w:rFonts w:ascii="Times New Roman" w:hAnsi="Times New Roman"/>
          <w:b/>
          <w:sz w:val="26"/>
          <w:szCs w:val="28"/>
          <w:lang w:val="en-GB"/>
        </w:rPr>
      </w:pPr>
      <w:r w:rsidRPr="00547DD8">
        <w:rPr>
          <w:rFonts w:ascii="Times New Roman" w:hAnsi="Times New Roman"/>
          <w:b/>
          <w:sz w:val="26"/>
          <w:szCs w:val="28"/>
          <w:lang w:val="en-GB"/>
        </w:rPr>
        <w:t>4. Voting of COSAC's Contribution and Conclusions</w:t>
      </w:r>
    </w:p>
    <w:p w:rsidR="005F203F" w:rsidRPr="00547DD8" w:rsidRDefault="002C544B" w:rsidP="0033050F">
      <w:pPr>
        <w:spacing w:after="0"/>
        <w:ind w:firstLine="708"/>
        <w:jc w:val="both"/>
        <w:rPr>
          <w:rFonts w:ascii="Times New Roman" w:hAnsi="Times New Roman"/>
          <w:sz w:val="26"/>
          <w:szCs w:val="28"/>
          <w:lang w:val="en-GB"/>
        </w:rPr>
      </w:pPr>
      <w:r>
        <w:rPr>
          <w:rFonts w:ascii="Times New Roman" w:hAnsi="Times New Roman"/>
          <w:sz w:val="26"/>
          <w:szCs w:val="28"/>
          <w:lang w:val="en-GB"/>
        </w:rPr>
        <w:t xml:space="preserve">4.1. </w:t>
      </w:r>
      <w:r w:rsidR="005F203F" w:rsidRPr="00547DD8">
        <w:rPr>
          <w:rFonts w:ascii="Times New Roman" w:hAnsi="Times New Roman"/>
          <w:sz w:val="26"/>
          <w:szCs w:val="28"/>
          <w:lang w:val="en-GB"/>
        </w:rPr>
        <w:t>Taking into account the draft letter circulated by some Parliaments/Chambers on the occasion of the Chairpersons Meeting held in Rom</w:t>
      </w:r>
      <w:r w:rsidR="00AA0449" w:rsidRPr="00547DD8">
        <w:rPr>
          <w:rFonts w:ascii="Times New Roman" w:hAnsi="Times New Roman"/>
          <w:sz w:val="26"/>
          <w:szCs w:val="28"/>
          <w:lang w:val="en-GB"/>
        </w:rPr>
        <w:t>e</w:t>
      </w:r>
      <w:r w:rsidR="005F203F" w:rsidRPr="00547DD8">
        <w:rPr>
          <w:rFonts w:ascii="Times New Roman" w:hAnsi="Times New Roman"/>
          <w:sz w:val="26"/>
          <w:szCs w:val="28"/>
          <w:lang w:val="en-GB"/>
        </w:rPr>
        <w:t xml:space="preserve"> on 18 July 2014, </w:t>
      </w:r>
      <w:r w:rsidR="00B00085" w:rsidRPr="00B00085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 xml:space="preserve">after an analysis by the Presidency, with the assistance of the Secretariat, the document </w:t>
      </w:r>
      <w:r w:rsidR="00B00B7B" w:rsidRPr="00B00B7B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>on pract</w:t>
      </w:r>
      <w:r w:rsidR="00444B3C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>ices regarding voting on Contributions,</w:t>
      </w:r>
      <w:r w:rsidR="00B00B7B" w:rsidRPr="00B00B7B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 xml:space="preserve"> drafted by the Permanent Member of the COSAC Secretariat in 2012</w:t>
      </w:r>
      <w:r w:rsidR="00444B3C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>,</w:t>
      </w:r>
      <w:r w:rsidR="00B00B7B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 xml:space="preserve"> has been </w:t>
      </w:r>
      <w:r w:rsidR="00B00085" w:rsidRPr="00B00085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w:t>updated</w:t>
      </w:r>
      <w:r w:rsidR="001156DA">
        <w:rPr>
          <w:rFonts w:ascii="Times New Roman" w:hAnsi="Times New Roman"/>
          <w:sz w:val="26"/>
          <w:szCs w:val="28"/>
          <w:lang w:val="en-GB"/>
        </w:rPr>
        <w:t>.</w:t>
      </w:r>
    </w:p>
    <w:sectPr w:rsidR="005F203F" w:rsidRPr="00547DD8" w:rsidSect="00022AE8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EC" w:rsidRDefault="00734AEC" w:rsidP="008036C8">
      <w:pPr>
        <w:spacing w:after="0" w:line="240" w:lineRule="auto"/>
      </w:pPr>
      <w:r>
        <w:separator/>
      </w:r>
    </w:p>
  </w:endnote>
  <w:endnote w:type="continuationSeparator" w:id="0">
    <w:p w:rsidR="00734AEC" w:rsidRDefault="00734AEC" w:rsidP="0080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9" w:rsidRPr="00E04B39" w:rsidRDefault="00E75E4F" w:rsidP="0099238C">
    <w:pPr>
      <w:pStyle w:val="Footer"/>
      <w:jc w:val="center"/>
      <w:rPr>
        <w:rFonts w:ascii="Times New Roman" w:hAnsi="Times New Roman"/>
        <w:sz w:val="28"/>
        <w:szCs w:val="28"/>
      </w:rPr>
    </w:pPr>
    <w:r w:rsidRPr="00AB28D6">
      <w:rPr>
        <w:rFonts w:ascii="Times New Roman" w:hAnsi="Times New Roman"/>
      </w:rPr>
      <w:fldChar w:fldCharType="begin"/>
    </w:r>
    <w:r w:rsidR="00E04B39" w:rsidRPr="00AB28D6">
      <w:rPr>
        <w:rFonts w:ascii="Times New Roman" w:hAnsi="Times New Roman"/>
      </w:rPr>
      <w:instrText xml:space="preserve"> PAGE   \* MERGEFORMAT </w:instrText>
    </w:r>
    <w:r w:rsidRPr="00AB28D6">
      <w:rPr>
        <w:rFonts w:ascii="Times New Roman" w:hAnsi="Times New Roman"/>
      </w:rPr>
      <w:fldChar w:fldCharType="separate"/>
    </w:r>
    <w:r w:rsidR="00E87FAA">
      <w:rPr>
        <w:rFonts w:ascii="Times New Roman" w:hAnsi="Times New Roman"/>
        <w:noProof/>
      </w:rPr>
      <w:t>1</w:t>
    </w:r>
    <w:r w:rsidRPr="00AB28D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EC" w:rsidRDefault="00734AEC" w:rsidP="008036C8">
      <w:pPr>
        <w:spacing w:after="0" w:line="240" w:lineRule="auto"/>
      </w:pPr>
      <w:r>
        <w:separator/>
      </w:r>
    </w:p>
  </w:footnote>
  <w:footnote w:type="continuationSeparator" w:id="0">
    <w:p w:rsidR="00734AEC" w:rsidRDefault="00734AEC" w:rsidP="0080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39" w:rsidRPr="00B9742D" w:rsidRDefault="00E04B39" w:rsidP="00B7077A">
    <w:pPr>
      <w:rPr>
        <w:noProof/>
        <w:lang w:eastAsia="it-IT"/>
      </w:rPr>
    </w:pPr>
    <w:r>
      <w:rPr>
        <w:noProof/>
        <w:lang w:val="en-GB" w:eastAsia="en-GB"/>
      </w:rPr>
      <w:drawing>
        <wp:inline distT="0" distB="0" distL="0" distR="0">
          <wp:extent cx="6112510" cy="939165"/>
          <wp:effectExtent l="1905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B39" w:rsidRDefault="00E04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92D"/>
    <w:multiLevelType w:val="hybridMultilevel"/>
    <w:tmpl w:val="BAE44B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A6E"/>
    <w:multiLevelType w:val="hybridMultilevel"/>
    <w:tmpl w:val="78502D84"/>
    <w:lvl w:ilvl="0" w:tplc="14D6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63"/>
    <w:rsid w:val="000014C6"/>
    <w:rsid w:val="00003B3A"/>
    <w:rsid w:val="00004199"/>
    <w:rsid w:val="000077C6"/>
    <w:rsid w:val="00010B93"/>
    <w:rsid w:val="00014CD3"/>
    <w:rsid w:val="00015BD1"/>
    <w:rsid w:val="0001706C"/>
    <w:rsid w:val="000201D6"/>
    <w:rsid w:val="0002032A"/>
    <w:rsid w:val="00022AE8"/>
    <w:rsid w:val="000272C7"/>
    <w:rsid w:val="00045C37"/>
    <w:rsid w:val="00047E48"/>
    <w:rsid w:val="000608EF"/>
    <w:rsid w:val="00061A55"/>
    <w:rsid w:val="00071F27"/>
    <w:rsid w:val="000729E6"/>
    <w:rsid w:val="00073CD3"/>
    <w:rsid w:val="000755B3"/>
    <w:rsid w:val="00086542"/>
    <w:rsid w:val="00092A93"/>
    <w:rsid w:val="000A1F45"/>
    <w:rsid w:val="000A766A"/>
    <w:rsid w:val="000B5B58"/>
    <w:rsid w:val="000C43C9"/>
    <w:rsid w:val="000D0D3B"/>
    <w:rsid w:val="000D4806"/>
    <w:rsid w:val="000D7905"/>
    <w:rsid w:val="000E0D19"/>
    <w:rsid w:val="000E3D86"/>
    <w:rsid w:val="000F1DDB"/>
    <w:rsid w:val="001063A6"/>
    <w:rsid w:val="00106ADA"/>
    <w:rsid w:val="00107A6E"/>
    <w:rsid w:val="001156DA"/>
    <w:rsid w:val="00117A42"/>
    <w:rsid w:val="00123D31"/>
    <w:rsid w:val="001339F2"/>
    <w:rsid w:val="00133B91"/>
    <w:rsid w:val="00143707"/>
    <w:rsid w:val="001517C3"/>
    <w:rsid w:val="001554C0"/>
    <w:rsid w:val="00160AAD"/>
    <w:rsid w:val="00163359"/>
    <w:rsid w:val="001718EE"/>
    <w:rsid w:val="00174384"/>
    <w:rsid w:val="0017794E"/>
    <w:rsid w:val="00183E56"/>
    <w:rsid w:val="00187058"/>
    <w:rsid w:val="001919F9"/>
    <w:rsid w:val="0019416E"/>
    <w:rsid w:val="00197112"/>
    <w:rsid w:val="001A1099"/>
    <w:rsid w:val="001A2BDB"/>
    <w:rsid w:val="001A603B"/>
    <w:rsid w:val="001B08AD"/>
    <w:rsid w:val="001B0EE5"/>
    <w:rsid w:val="001B32FF"/>
    <w:rsid w:val="001B78B2"/>
    <w:rsid w:val="001D1C0C"/>
    <w:rsid w:val="001E12A5"/>
    <w:rsid w:val="001E22D5"/>
    <w:rsid w:val="00204841"/>
    <w:rsid w:val="002072D9"/>
    <w:rsid w:val="00211347"/>
    <w:rsid w:val="00215C46"/>
    <w:rsid w:val="00217D31"/>
    <w:rsid w:val="00222FD9"/>
    <w:rsid w:val="002317F7"/>
    <w:rsid w:val="0023361C"/>
    <w:rsid w:val="0023423C"/>
    <w:rsid w:val="0023452D"/>
    <w:rsid w:val="00235B34"/>
    <w:rsid w:val="00245F09"/>
    <w:rsid w:val="00251B19"/>
    <w:rsid w:val="0025320A"/>
    <w:rsid w:val="002533F1"/>
    <w:rsid w:val="002563CE"/>
    <w:rsid w:val="002737CC"/>
    <w:rsid w:val="00274AFD"/>
    <w:rsid w:val="0027631F"/>
    <w:rsid w:val="002771BE"/>
    <w:rsid w:val="00277D27"/>
    <w:rsid w:val="0028253E"/>
    <w:rsid w:val="002905B8"/>
    <w:rsid w:val="0029659E"/>
    <w:rsid w:val="00296ABF"/>
    <w:rsid w:val="002A5623"/>
    <w:rsid w:val="002A77AD"/>
    <w:rsid w:val="002B3DCD"/>
    <w:rsid w:val="002B51E8"/>
    <w:rsid w:val="002C544B"/>
    <w:rsid w:val="002C7C12"/>
    <w:rsid w:val="002D285E"/>
    <w:rsid w:val="002D59F9"/>
    <w:rsid w:val="002D70B3"/>
    <w:rsid w:val="002E220E"/>
    <w:rsid w:val="002E5735"/>
    <w:rsid w:val="002E693A"/>
    <w:rsid w:val="002F5333"/>
    <w:rsid w:val="00300C1C"/>
    <w:rsid w:val="003018E6"/>
    <w:rsid w:val="00303E01"/>
    <w:rsid w:val="00324F2F"/>
    <w:rsid w:val="0033050F"/>
    <w:rsid w:val="00332516"/>
    <w:rsid w:val="00333871"/>
    <w:rsid w:val="00333A20"/>
    <w:rsid w:val="00337BF6"/>
    <w:rsid w:val="00344753"/>
    <w:rsid w:val="003475CD"/>
    <w:rsid w:val="00352015"/>
    <w:rsid w:val="00360387"/>
    <w:rsid w:val="00360E1A"/>
    <w:rsid w:val="00382569"/>
    <w:rsid w:val="00384C01"/>
    <w:rsid w:val="00395EC8"/>
    <w:rsid w:val="00397542"/>
    <w:rsid w:val="003976DA"/>
    <w:rsid w:val="00397DC2"/>
    <w:rsid w:val="003A541C"/>
    <w:rsid w:val="003A6208"/>
    <w:rsid w:val="003A7140"/>
    <w:rsid w:val="003A7940"/>
    <w:rsid w:val="003B69FD"/>
    <w:rsid w:val="003C21C4"/>
    <w:rsid w:val="003C2937"/>
    <w:rsid w:val="003C72FA"/>
    <w:rsid w:val="003D0A1F"/>
    <w:rsid w:val="003D3BE7"/>
    <w:rsid w:val="003D43DD"/>
    <w:rsid w:val="003E3388"/>
    <w:rsid w:val="003E3E35"/>
    <w:rsid w:val="003E7140"/>
    <w:rsid w:val="003E7FAB"/>
    <w:rsid w:val="003F1468"/>
    <w:rsid w:val="003F35F2"/>
    <w:rsid w:val="00404051"/>
    <w:rsid w:val="00416171"/>
    <w:rsid w:val="004225FF"/>
    <w:rsid w:val="004268F9"/>
    <w:rsid w:val="0042792B"/>
    <w:rsid w:val="00427B47"/>
    <w:rsid w:val="004327E3"/>
    <w:rsid w:val="004344F4"/>
    <w:rsid w:val="00441450"/>
    <w:rsid w:val="00444B3C"/>
    <w:rsid w:val="00452D66"/>
    <w:rsid w:val="0045398F"/>
    <w:rsid w:val="0045771F"/>
    <w:rsid w:val="0047035E"/>
    <w:rsid w:val="004716D6"/>
    <w:rsid w:val="00473DE2"/>
    <w:rsid w:val="00481311"/>
    <w:rsid w:val="0048490F"/>
    <w:rsid w:val="004850BC"/>
    <w:rsid w:val="00485727"/>
    <w:rsid w:val="0048682E"/>
    <w:rsid w:val="00494D7F"/>
    <w:rsid w:val="00496786"/>
    <w:rsid w:val="004A1016"/>
    <w:rsid w:val="004A2047"/>
    <w:rsid w:val="004A294C"/>
    <w:rsid w:val="004B154D"/>
    <w:rsid w:val="004C18EE"/>
    <w:rsid w:val="004D1206"/>
    <w:rsid w:val="004D14D8"/>
    <w:rsid w:val="004D429E"/>
    <w:rsid w:val="004E0DC9"/>
    <w:rsid w:val="004E65F9"/>
    <w:rsid w:val="004F14AA"/>
    <w:rsid w:val="005013D5"/>
    <w:rsid w:val="005047D0"/>
    <w:rsid w:val="00505199"/>
    <w:rsid w:val="00510485"/>
    <w:rsid w:val="00510692"/>
    <w:rsid w:val="00516F31"/>
    <w:rsid w:val="0052656B"/>
    <w:rsid w:val="005271E9"/>
    <w:rsid w:val="0054185C"/>
    <w:rsid w:val="005465DA"/>
    <w:rsid w:val="00546EF4"/>
    <w:rsid w:val="00547DD8"/>
    <w:rsid w:val="00550F28"/>
    <w:rsid w:val="00554B67"/>
    <w:rsid w:val="00554F97"/>
    <w:rsid w:val="00563020"/>
    <w:rsid w:val="00565609"/>
    <w:rsid w:val="005658B2"/>
    <w:rsid w:val="005700DA"/>
    <w:rsid w:val="00570AC8"/>
    <w:rsid w:val="0057421D"/>
    <w:rsid w:val="00576950"/>
    <w:rsid w:val="00590371"/>
    <w:rsid w:val="00592220"/>
    <w:rsid w:val="005929EB"/>
    <w:rsid w:val="0059337B"/>
    <w:rsid w:val="00593999"/>
    <w:rsid w:val="00597A39"/>
    <w:rsid w:val="005A1FEC"/>
    <w:rsid w:val="005A29D5"/>
    <w:rsid w:val="005A6C81"/>
    <w:rsid w:val="005C07EF"/>
    <w:rsid w:val="005C0A7C"/>
    <w:rsid w:val="005C650D"/>
    <w:rsid w:val="005C7548"/>
    <w:rsid w:val="005D041C"/>
    <w:rsid w:val="005D0656"/>
    <w:rsid w:val="005D0880"/>
    <w:rsid w:val="005D2B53"/>
    <w:rsid w:val="005D4061"/>
    <w:rsid w:val="005D4A3E"/>
    <w:rsid w:val="005D77B9"/>
    <w:rsid w:val="005E07DB"/>
    <w:rsid w:val="005E21E5"/>
    <w:rsid w:val="005E6E6A"/>
    <w:rsid w:val="005F203F"/>
    <w:rsid w:val="005F2068"/>
    <w:rsid w:val="005F2698"/>
    <w:rsid w:val="005F2ADE"/>
    <w:rsid w:val="005F5DFD"/>
    <w:rsid w:val="00602028"/>
    <w:rsid w:val="006022BE"/>
    <w:rsid w:val="00605C99"/>
    <w:rsid w:val="00606C88"/>
    <w:rsid w:val="00610F6F"/>
    <w:rsid w:val="00621D3C"/>
    <w:rsid w:val="00623F9B"/>
    <w:rsid w:val="00631469"/>
    <w:rsid w:val="00631ED1"/>
    <w:rsid w:val="00635439"/>
    <w:rsid w:val="00637183"/>
    <w:rsid w:val="00641B59"/>
    <w:rsid w:val="00650BC1"/>
    <w:rsid w:val="006552F3"/>
    <w:rsid w:val="00655D9E"/>
    <w:rsid w:val="00657C95"/>
    <w:rsid w:val="00661B3C"/>
    <w:rsid w:val="00662139"/>
    <w:rsid w:val="006633BF"/>
    <w:rsid w:val="00674B27"/>
    <w:rsid w:val="00682639"/>
    <w:rsid w:val="00683D67"/>
    <w:rsid w:val="006946B1"/>
    <w:rsid w:val="00697DC4"/>
    <w:rsid w:val="006A1976"/>
    <w:rsid w:val="006B47AE"/>
    <w:rsid w:val="006B6E86"/>
    <w:rsid w:val="006B78BD"/>
    <w:rsid w:val="006B7E49"/>
    <w:rsid w:val="006C6B41"/>
    <w:rsid w:val="006D3C9C"/>
    <w:rsid w:val="006D5468"/>
    <w:rsid w:val="006E32E6"/>
    <w:rsid w:val="006E4A16"/>
    <w:rsid w:val="006F152F"/>
    <w:rsid w:val="006F2152"/>
    <w:rsid w:val="006F364B"/>
    <w:rsid w:val="006F48A0"/>
    <w:rsid w:val="006F5588"/>
    <w:rsid w:val="00700EEC"/>
    <w:rsid w:val="00703F91"/>
    <w:rsid w:val="00703FA5"/>
    <w:rsid w:val="00705E27"/>
    <w:rsid w:val="00707580"/>
    <w:rsid w:val="0071125A"/>
    <w:rsid w:val="00716D9B"/>
    <w:rsid w:val="00721727"/>
    <w:rsid w:val="00721ECA"/>
    <w:rsid w:val="0072430B"/>
    <w:rsid w:val="0072518F"/>
    <w:rsid w:val="007346E3"/>
    <w:rsid w:val="00734AEC"/>
    <w:rsid w:val="007350A5"/>
    <w:rsid w:val="00735FB8"/>
    <w:rsid w:val="007408B8"/>
    <w:rsid w:val="00744731"/>
    <w:rsid w:val="00746713"/>
    <w:rsid w:val="00760689"/>
    <w:rsid w:val="007653E5"/>
    <w:rsid w:val="0076657B"/>
    <w:rsid w:val="00775627"/>
    <w:rsid w:val="007813BD"/>
    <w:rsid w:val="00781841"/>
    <w:rsid w:val="007930E5"/>
    <w:rsid w:val="00797233"/>
    <w:rsid w:val="007A5249"/>
    <w:rsid w:val="007A6F1B"/>
    <w:rsid w:val="007B295D"/>
    <w:rsid w:val="007B591C"/>
    <w:rsid w:val="007C4CEF"/>
    <w:rsid w:val="007C5AE6"/>
    <w:rsid w:val="007D03A8"/>
    <w:rsid w:val="007D252F"/>
    <w:rsid w:val="007E09A9"/>
    <w:rsid w:val="007E1D1B"/>
    <w:rsid w:val="007E25CC"/>
    <w:rsid w:val="007E7546"/>
    <w:rsid w:val="00800AE4"/>
    <w:rsid w:val="008036C8"/>
    <w:rsid w:val="0081081F"/>
    <w:rsid w:val="00812665"/>
    <w:rsid w:val="00813F0C"/>
    <w:rsid w:val="00815126"/>
    <w:rsid w:val="00817D7B"/>
    <w:rsid w:val="00822A78"/>
    <w:rsid w:val="0083109F"/>
    <w:rsid w:val="00845746"/>
    <w:rsid w:val="00847478"/>
    <w:rsid w:val="00847760"/>
    <w:rsid w:val="00847CE6"/>
    <w:rsid w:val="00850B01"/>
    <w:rsid w:val="00852A45"/>
    <w:rsid w:val="00854523"/>
    <w:rsid w:val="0085762B"/>
    <w:rsid w:val="00857A6B"/>
    <w:rsid w:val="0086755E"/>
    <w:rsid w:val="00876C4D"/>
    <w:rsid w:val="00877BFF"/>
    <w:rsid w:val="00883692"/>
    <w:rsid w:val="00886A6D"/>
    <w:rsid w:val="00886D41"/>
    <w:rsid w:val="008A0926"/>
    <w:rsid w:val="008A1148"/>
    <w:rsid w:val="008A2CC8"/>
    <w:rsid w:val="008A6A67"/>
    <w:rsid w:val="008A79DE"/>
    <w:rsid w:val="008A7B4B"/>
    <w:rsid w:val="008B46D5"/>
    <w:rsid w:val="008B658D"/>
    <w:rsid w:val="008C1880"/>
    <w:rsid w:val="008C714B"/>
    <w:rsid w:val="008C7789"/>
    <w:rsid w:val="008D4925"/>
    <w:rsid w:val="008E2A78"/>
    <w:rsid w:val="008E639E"/>
    <w:rsid w:val="008F4B53"/>
    <w:rsid w:val="0090252B"/>
    <w:rsid w:val="009029FB"/>
    <w:rsid w:val="00903F03"/>
    <w:rsid w:val="009051AE"/>
    <w:rsid w:val="00906272"/>
    <w:rsid w:val="009106D4"/>
    <w:rsid w:val="00911285"/>
    <w:rsid w:val="00912348"/>
    <w:rsid w:val="00914FD6"/>
    <w:rsid w:val="009205B2"/>
    <w:rsid w:val="00920BB7"/>
    <w:rsid w:val="00921682"/>
    <w:rsid w:val="00925E3C"/>
    <w:rsid w:val="0092601D"/>
    <w:rsid w:val="0093057F"/>
    <w:rsid w:val="00937C8D"/>
    <w:rsid w:val="009461BC"/>
    <w:rsid w:val="00950EDF"/>
    <w:rsid w:val="0095271C"/>
    <w:rsid w:val="00961C20"/>
    <w:rsid w:val="00962EE9"/>
    <w:rsid w:val="009653A8"/>
    <w:rsid w:val="00966A62"/>
    <w:rsid w:val="00970CB5"/>
    <w:rsid w:val="0097464B"/>
    <w:rsid w:val="00981CE3"/>
    <w:rsid w:val="00983DA8"/>
    <w:rsid w:val="00987F3E"/>
    <w:rsid w:val="00990A07"/>
    <w:rsid w:val="0099238C"/>
    <w:rsid w:val="00997EA4"/>
    <w:rsid w:val="009A428C"/>
    <w:rsid w:val="009A5BFF"/>
    <w:rsid w:val="009A7624"/>
    <w:rsid w:val="009C09C9"/>
    <w:rsid w:val="009D1AE4"/>
    <w:rsid w:val="009D20D4"/>
    <w:rsid w:val="009D6187"/>
    <w:rsid w:val="009E662E"/>
    <w:rsid w:val="009E6CC6"/>
    <w:rsid w:val="009F6879"/>
    <w:rsid w:val="00A04F41"/>
    <w:rsid w:val="00A0780D"/>
    <w:rsid w:val="00A11995"/>
    <w:rsid w:val="00A1212C"/>
    <w:rsid w:val="00A14491"/>
    <w:rsid w:val="00A21EBE"/>
    <w:rsid w:val="00A21EC4"/>
    <w:rsid w:val="00A26386"/>
    <w:rsid w:val="00A373B3"/>
    <w:rsid w:val="00A40F9C"/>
    <w:rsid w:val="00A451AA"/>
    <w:rsid w:val="00A507E3"/>
    <w:rsid w:val="00A54145"/>
    <w:rsid w:val="00A565BF"/>
    <w:rsid w:val="00A630F4"/>
    <w:rsid w:val="00A66B51"/>
    <w:rsid w:val="00A67BF1"/>
    <w:rsid w:val="00A81E07"/>
    <w:rsid w:val="00A82733"/>
    <w:rsid w:val="00A9089B"/>
    <w:rsid w:val="00A94A0B"/>
    <w:rsid w:val="00A9752E"/>
    <w:rsid w:val="00A978F1"/>
    <w:rsid w:val="00AA0449"/>
    <w:rsid w:val="00AA0F45"/>
    <w:rsid w:val="00AA574C"/>
    <w:rsid w:val="00AA6CA8"/>
    <w:rsid w:val="00AA7A9C"/>
    <w:rsid w:val="00AB03F1"/>
    <w:rsid w:val="00AB06CE"/>
    <w:rsid w:val="00AB28D6"/>
    <w:rsid w:val="00AB2AAA"/>
    <w:rsid w:val="00AC743C"/>
    <w:rsid w:val="00AD3D69"/>
    <w:rsid w:val="00AD4EA8"/>
    <w:rsid w:val="00AD6776"/>
    <w:rsid w:val="00AE08F9"/>
    <w:rsid w:val="00AF1FB0"/>
    <w:rsid w:val="00AF4A45"/>
    <w:rsid w:val="00AF534E"/>
    <w:rsid w:val="00AF7DF3"/>
    <w:rsid w:val="00B00085"/>
    <w:rsid w:val="00B00B7B"/>
    <w:rsid w:val="00B0186F"/>
    <w:rsid w:val="00B040AF"/>
    <w:rsid w:val="00B04AE5"/>
    <w:rsid w:val="00B1569C"/>
    <w:rsid w:val="00B27E88"/>
    <w:rsid w:val="00B31EAD"/>
    <w:rsid w:val="00B32FDC"/>
    <w:rsid w:val="00B41A69"/>
    <w:rsid w:val="00B4216A"/>
    <w:rsid w:val="00B50290"/>
    <w:rsid w:val="00B54964"/>
    <w:rsid w:val="00B627B5"/>
    <w:rsid w:val="00B64EC1"/>
    <w:rsid w:val="00B7077A"/>
    <w:rsid w:val="00B73014"/>
    <w:rsid w:val="00B767BE"/>
    <w:rsid w:val="00B827B4"/>
    <w:rsid w:val="00B871BB"/>
    <w:rsid w:val="00B87F77"/>
    <w:rsid w:val="00B93AAF"/>
    <w:rsid w:val="00B97392"/>
    <w:rsid w:val="00BB2564"/>
    <w:rsid w:val="00BB45F9"/>
    <w:rsid w:val="00BB5DE8"/>
    <w:rsid w:val="00BC6A1F"/>
    <w:rsid w:val="00BD694B"/>
    <w:rsid w:val="00BE6307"/>
    <w:rsid w:val="00BF25EB"/>
    <w:rsid w:val="00BF4A26"/>
    <w:rsid w:val="00BF501B"/>
    <w:rsid w:val="00BF5153"/>
    <w:rsid w:val="00BF7ED1"/>
    <w:rsid w:val="00C03BC5"/>
    <w:rsid w:val="00C10C8C"/>
    <w:rsid w:val="00C13ABD"/>
    <w:rsid w:val="00C20C90"/>
    <w:rsid w:val="00C24BCE"/>
    <w:rsid w:val="00C25EB5"/>
    <w:rsid w:val="00C267DF"/>
    <w:rsid w:val="00C26DD1"/>
    <w:rsid w:val="00C3392D"/>
    <w:rsid w:val="00C3422A"/>
    <w:rsid w:val="00C36FF8"/>
    <w:rsid w:val="00C4104E"/>
    <w:rsid w:val="00C4105D"/>
    <w:rsid w:val="00C466EC"/>
    <w:rsid w:val="00C62377"/>
    <w:rsid w:val="00C6753C"/>
    <w:rsid w:val="00C74C65"/>
    <w:rsid w:val="00C83679"/>
    <w:rsid w:val="00C85594"/>
    <w:rsid w:val="00C879CC"/>
    <w:rsid w:val="00C90E3B"/>
    <w:rsid w:val="00C916FB"/>
    <w:rsid w:val="00C95836"/>
    <w:rsid w:val="00C95937"/>
    <w:rsid w:val="00CB2F0D"/>
    <w:rsid w:val="00CB7E5B"/>
    <w:rsid w:val="00CC2389"/>
    <w:rsid w:val="00CD3326"/>
    <w:rsid w:val="00CE016D"/>
    <w:rsid w:val="00CE0DB0"/>
    <w:rsid w:val="00CE458F"/>
    <w:rsid w:val="00CE6C58"/>
    <w:rsid w:val="00CE7098"/>
    <w:rsid w:val="00CF7E2E"/>
    <w:rsid w:val="00CF7E3A"/>
    <w:rsid w:val="00D02C9B"/>
    <w:rsid w:val="00D053BE"/>
    <w:rsid w:val="00D06EAD"/>
    <w:rsid w:val="00D21745"/>
    <w:rsid w:val="00D33F35"/>
    <w:rsid w:val="00D3526B"/>
    <w:rsid w:val="00D574A5"/>
    <w:rsid w:val="00D63DAF"/>
    <w:rsid w:val="00D642AC"/>
    <w:rsid w:val="00D712C5"/>
    <w:rsid w:val="00D72813"/>
    <w:rsid w:val="00D7548E"/>
    <w:rsid w:val="00D76B4B"/>
    <w:rsid w:val="00D81BA1"/>
    <w:rsid w:val="00D83A7B"/>
    <w:rsid w:val="00D86CBF"/>
    <w:rsid w:val="00D90CD3"/>
    <w:rsid w:val="00D97682"/>
    <w:rsid w:val="00DA0C0D"/>
    <w:rsid w:val="00DB0296"/>
    <w:rsid w:val="00DC56A0"/>
    <w:rsid w:val="00DC73CD"/>
    <w:rsid w:val="00DD1EA8"/>
    <w:rsid w:val="00DD337A"/>
    <w:rsid w:val="00DD451B"/>
    <w:rsid w:val="00DD7E9A"/>
    <w:rsid w:val="00DE0146"/>
    <w:rsid w:val="00DE18F1"/>
    <w:rsid w:val="00DE3F33"/>
    <w:rsid w:val="00DE6227"/>
    <w:rsid w:val="00DE743F"/>
    <w:rsid w:val="00DF0780"/>
    <w:rsid w:val="00DF10FB"/>
    <w:rsid w:val="00DF151E"/>
    <w:rsid w:val="00DF62D7"/>
    <w:rsid w:val="00E0117A"/>
    <w:rsid w:val="00E032E5"/>
    <w:rsid w:val="00E04B39"/>
    <w:rsid w:val="00E06AAF"/>
    <w:rsid w:val="00E118E7"/>
    <w:rsid w:val="00E12699"/>
    <w:rsid w:val="00E133C2"/>
    <w:rsid w:val="00E14E4E"/>
    <w:rsid w:val="00E24B31"/>
    <w:rsid w:val="00E33DF0"/>
    <w:rsid w:val="00E35059"/>
    <w:rsid w:val="00E3514D"/>
    <w:rsid w:val="00E40BE3"/>
    <w:rsid w:val="00E43516"/>
    <w:rsid w:val="00E47B8A"/>
    <w:rsid w:val="00E61989"/>
    <w:rsid w:val="00E75E4F"/>
    <w:rsid w:val="00E75FDD"/>
    <w:rsid w:val="00E762B3"/>
    <w:rsid w:val="00E7721F"/>
    <w:rsid w:val="00E775A2"/>
    <w:rsid w:val="00E81E25"/>
    <w:rsid w:val="00E84C72"/>
    <w:rsid w:val="00E85ECC"/>
    <w:rsid w:val="00E87FAA"/>
    <w:rsid w:val="00E9010E"/>
    <w:rsid w:val="00E96106"/>
    <w:rsid w:val="00EA20F8"/>
    <w:rsid w:val="00EA3A4C"/>
    <w:rsid w:val="00EA4169"/>
    <w:rsid w:val="00EA55F2"/>
    <w:rsid w:val="00EB63D1"/>
    <w:rsid w:val="00EC0C7C"/>
    <w:rsid w:val="00ED1E04"/>
    <w:rsid w:val="00ED61D1"/>
    <w:rsid w:val="00ED62FD"/>
    <w:rsid w:val="00EE51A0"/>
    <w:rsid w:val="00EE5F62"/>
    <w:rsid w:val="00EE6794"/>
    <w:rsid w:val="00EF20AE"/>
    <w:rsid w:val="00EF3FA8"/>
    <w:rsid w:val="00EF42CD"/>
    <w:rsid w:val="00EF64C2"/>
    <w:rsid w:val="00F00251"/>
    <w:rsid w:val="00F00D16"/>
    <w:rsid w:val="00F036E0"/>
    <w:rsid w:val="00F040F6"/>
    <w:rsid w:val="00F066FD"/>
    <w:rsid w:val="00F07E63"/>
    <w:rsid w:val="00F21BC8"/>
    <w:rsid w:val="00F23EB5"/>
    <w:rsid w:val="00F2775B"/>
    <w:rsid w:val="00F27C07"/>
    <w:rsid w:val="00F30BD2"/>
    <w:rsid w:val="00F32047"/>
    <w:rsid w:val="00F364ED"/>
    <w:rsid w:val="00F40678"/>
    <w:rsid w:val="00F47FA4"/>
    <w:rsid w:val="00F5298B"/>
    <w:rsid w:val="00F53D8A"/>
    <w:rsid w:val="00F56453"/>
    <w:rsid w:val="00F63F87"/>
    <w:rsid w:val="00F81E74"/>
    <w:rsid w:val="00F84356"/>
    <w:rsid w:val="00F85C16"/>
    <w:rsid w:val="00FA0496"/>
    <w:rsid w:val="00FA0602"/>
    <w:rsid w:val="00FA37C1"/>
    <w:rsid w:val="00FA7666"/>
    <w:rsid w:val="00FB0153"/>
    <w:rsid w:val="00FB15B4"/>
    <w:rsid w:val="00FB18CA"/>
    <w:rsid w:val="00FB3759"/>
    <w:rsid w:val="00FB4394"/>
    <w:rsid w:val="00FB7F81"/>
    <w:rsid w:val="00FC15CA"/>
    <w:rsid w:val="00FC4AB7"/>
    <w:rsid w:val="00FC572C"/>
    <w:rsid w:val="00FD0FF8"/>
    <w:rsid w:val="00FD4F7E"/>
    <w:rsid w:val="00FE334E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36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link w:val="FootnoteText"/>
    <w:semiHidden/>
    <w:rsid w:val="008036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8036C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89"/>
  </w:style>
  <w:style w:type="paragraph" w:styleId="Footer">
    <w:name w:val="footer"/>
    <w:basedOn w:val="Normal"/>
    <w:link w:val="FooterChar"/>
    <w:uiPriority w:val="99"/>
    <w:unhideWhenUsed/>
    <w:rsid w:val="00CC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89"/>
  </w:style>
  <w:style w:type="paragraph" w:styleId="ListParagraph">
    <w:name w:val="List Paragraph"/>
    <w:basedOn w:val="Normal"/>
    <w:uiPriority w:val="34"/>
    <w:qFormat/>
    <w:rsid w:val="00516F31"/>
    <w:pPr>
      <w:ind w:left="720"/>
      <w:contextualSpacing/>
    </w:pPr>
  </w:style>
  <w:style w:type="character" w:styleId="Hyperlink">
    <w:name w:val="Hyperlink"/>
    <w:uiPriority w:val="99"/>
    <w:unhideWhenUsed/>
    <w:rsid w:val="00F364ED"/>
    <w:rPr>
      <w:color w:val="0000FF"/>
      <w:u w:val="single"/>
    </w:rPr>
  </w:style>
  <w:style w:type="character" w:styleId="CommentReference">
    <w:name w:val="annotation reference"/>
    <w:rsid w:val="00AA04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44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AA0449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4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E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B6E8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41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04F41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036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link w:val="FootnoteText"/>
    <w:semiHidden/>
    <w:rsid w:val="008036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semiHidden/>
    <w:rsid w:val="008036C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389"/>
  </w:style>
  <w:style w:type="paragraph" w:styleId="Footer">
    <w:name w:val="footer"/>
    <w:basedOn w:val="Normal"/>
    <w:link w:val="FooterChar"/>
    <w:uiPriority w:val="99"/>
    <w:unhideWhenUsed/>
    <w:rsid w:val="00CC2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89"/>
  </w:style>
  <w:style w:type="paragraph" w:styleId="ListParagraph">
    <w:name w:val="List Paragraph"/>
    <w:basedOn w:val="Normal"/>
    <w:uiPriority w:val="34"/>
    <w:qFormat/>
    <w:rsid w:val="00516F31"/>
    <w:pPr>
      <w:ind w:left="720"/>
      <w:contextualSpacing/>
    </w:pPr>
  </w:style>
  <w:style w:type="character" w:styleId="Hyperlink">
    <w:name w:val="Hyperlink"/>
    <w:uiPriority w:val="99"/>
    <w:unhideWhenUsed/>
    <w:rsid w:val="00F364ED"/>
    <w:rPr>
      <w:color w:val="0000FF"/>
      <w:u w:val="single"/>
    </w:rPr>
  </w:style>
  <w:style w:type="character" w:styleId="CommentReference">
    <w:name w:val="annotation reference"/>
    <w:rsid w:val="00AA04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44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AA0449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4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E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B6E86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41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04F4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8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06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26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8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11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8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2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15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003399"/>
                <w:bottom w:val="none" w:sz="0" w:space="0" w:color="auto"/>
                <w:right w:val="single" w:sz="8" w:space="0" w:color="003399"/>
              </w:divBdr>
              <w:divsChild>
                <w:div w:id="33311907">
                  <w:marLeft w:val="0"/>
                  <w:marRight w:val="-2234"/>
                  <w:marTop w:val="1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765">
                      <w:marLeft w:val="0"/>
                      <w:marRight w:val="2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754">
                              <w:marLeft w:val="2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4574D5"/>
                                                    <w:left w:val="single" w:sz="4" w:space="0" w:color="4574D5"/>
                                                    <w:bottom w:val="single" w:sz="4" w:space="0" w:color="4574D5"/>
                                                    <w:right w:val="single" w:sz="4" w:space="0" w:color="4574D5"/>
                                                  </w:divBdr>
                                                  <w:divsChild>
                                                    <w:div w:id="2197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9460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1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16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4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65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58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4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55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90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6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0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65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77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87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02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6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8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0" w:color="000000"/>
                                                            <w:bottom w:val="single" w:sz="8" w:space="0" w:color="000000"/>
                                                            <w:right w:val="single" w:sz="8" w:space="0" w:color="000000"/>
                                                          </w:divBdr>
                                                        </w:div>
                                                        <w:div w:id="56557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000000"/>
                                                            <w:left w:val="single" w:sz="8" w:space="0" w:color="000000"/>
                                                            <w:bottom w:val="none" w:sz="0" w:space="0" w:color="auto"/>
                                                            <w:right w:val="single" w:sz="8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3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31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3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9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8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0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605314">
                                  <w:marLeft w:val="0"/>
                                  <w:marRight w:val="0"/>
                                  <w:marTop w:val="99"/>
                                  <w:marBottom w:val="99"/>
                                  <w:divBdr>
                                    <w:top w:val="single" w:sz="4" w:space="0" w:color="CCE2ED"/>
                                    <w:left w:val="single" w:sz="4" w:space="0" w:color="CCE2ED"/>
                                    <w:bottom w:val="single" w:sz="4" w:space="0" w:color="CCE2ED"/>
                                    <w:right w:val="single" w:sz="4" w:space="0" w:color="CCE2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C13C-17B2-4215-87DF-D9071DD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C017E1F4</Template>
  <TotalTime>1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Senato della Repubblica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CAPUANO</dc:creator>
  <cp:lastModifiedBy>GIANANI Beatrice</cp:lastModifiedBy>
  <cp:revision>2</cp:revision>
  <cp:lastPrinted>2014-12-05T09:20:00Z</cp:lastPrinted>
  <dcterms:created xsi:type="dcterms:W3CDTF">2014-12-11T17:38:00Z</dcterms:created>
  <dcterms:modified xsi:type="dcterms:W3CDTF">2014-12-11T17:38:00Z</dcterms:modified>
</cp:coreProperties>
</file>