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592179" w14:textId="77777777" w:rsidR="00A16C8B" w:rsidRDefault="00A16C8B" w:rsidP="00A16C8B">
      <w:pPr>
        <w:spacing w:after="0" w:line="256" w:lineRule="auto"/>
        <w:ind w:hanging="426"/>
        <w:jc w:val="right"/>
        <w:rPr>
          <w:rFonts w:ascii="Open Sans" w:eastAsia="Calibri" w:hAnsi="Open Sans" w:cs="Open Sans"/>
          <w:b/>
          <w:color w:val="808080" w:themeColor="background1" w:themeShade="80"/>
          <w:sz w:val="28"/>
          <w:szCs w:val="28"/>
          <w:lang w:val="en-GB"/>
        </w:rPr>
      </w:pPr>
      <w:r w:rsidRPr="00411D81">
        <w:rPr>
          <w:rFonts w:ascii="Open Sans" w:eastAsia="Calibri" w:hAnsi="Open Sans" w:cs="Open Sans"/>
          <w:b/>
          <w:i/>
          <w:sz w:val="24"/>
          <w:szCs w:val="24"/>
          <w:lang w:val="en-GB"/>
        </w:rPr>
        <w:t>(1</w:t>
      </w:r>
      <w:r w:rsidRPr="00411D81">
        <w:rPr>
          <w:rFonts w:ascii="Open Sans" w:eastAsia="Calibri" w:hAnsi="Open Sans" w:cs="Open Sans"/>
          <w:b/>
          <w:i/>
          <w:sz w:val="24"/>
          <w:szCs w:val="24"/>
          <w:vertAlign w:val="superscript"/>
          <w:lang w:val="en-GB"/>
        </w:rPr>
        <w:t>st</w:t>
      </w:r>
      <w:r w:rsidRPr="00411D81">
        <w:rPr>
          <w:rFonts w:ascii="Open Sans" w:eastAsia="Calibri" w:hAnsi="Open Sans" w:cs="Open Sans"/>
          <w:b/>
          <w:i/>
          <w:sz w:val="24"/>
          <w:szCs w:val="24"/>
          <w:lang w:val="en-GB"/>
        </w:rPr>
        <w:t xml:space="preserve"> draft as of </w:t>
      </w:r>
      <w:r w:rsidR="00105191">
        <w:rPr>
          <w:rFonts w:ascii="Open Sans" w:eastAsia="Calibri" w:hAnsi="Open Sans" w:cs="Open Sans"/>
          <w:b/>
          <w:i/>
          <w:sz w:val="24"/>
          <w:szCs w:val="24"/>
          <w:lang w:val="en-GB"/>
        </w:rPr>
        <w:t>0</w:t>
      </w:r>
      <w:r w:rsidR="00C16584">
        <w:rPr>
          <w:rFonts w:ascii="Open Sans" w:eastAsia="Calibri" w:hAnsi="Open Sans" w:cs="Open Sans"/>
          <w:b/>
          <w:i/>
          <w:sz w:val="24"/>
          <w:szCs w:val="24"/>
          <w:lang w:val="en-GB"/>
        </w:rPr>
        <w:t>1</w:t>
      </w:r>
      <w:r w:rsidRPr="00411D81">
        <w:rPr>
          <w:rFonts w:ascii="Open Sans" w:eastAsia="Calibri" w:hAnsi="Open Sans" w:cs="Open Sans"/>
          <w:b/>
          <w:i/>
          <w:sz w:val="24"/>
          <w:szCs w:val="24"/>
          <w:lang w:val="en-GB"/>
        </w:rPr>
        <w:t>.0</w:t>
      </w:r>
      <w:r w:rsidR="00105191">
        <w:rPr>
          <w:rFonts w:ascii="Open Sans" w:eastAsia="Calibri" w:hAnsi="Open Sans" w:cs="Open Sans"/>
          <w:b/>
          <w:i/>
          <w:sz w:val="24"/>
          <w:szCs w:val="24"/>
          <w:lang w:val="en-GB"/>
        </w:rPr>
        <w:t>6</w:t>
      </w:r>
      <w:r w:rsidRPr="00411D81">
        <w:rPr>
          <w:rFonts w:ascii="Open Sans" w:eastAsia="Calibri" w:hAnsi="Open Sans" w:cs="Open Sans"/>
          <w:b/>
          <w:i/>
          <w:sz w:val="24"/>
          <w:szCs w:val="24"/>
          <w:lang w:val="en-GB"/>
        </w:rPr>
        <w:t>.2018)</w:t>
      </w:r>
    </w:p>
    <w:p w14:paraId="49661664" w14:textId="77777777" w:rsidR="00CD6E23" w:rsidRPr="00EC2C89" w:rsidRDefault="00EC2C89" w:rsidP="00411D81">
      <w:pPr>
        <w:spacing w:after="0" w:line="256" w:lineRule="auto"/>
        <w:ind w:hanging="426"/>
        <w:jc w:val="both"/>
        <w:rPr>
          <w:rFonts w:ascii="Open Sans" w:eastAsia="Calibri" w:hAnsi="Open Sans" w:cs="Open Sans"/>
          <w:b/>
          <w:color w:val="808080" w:themeColor="background1" w:themeShade="80"/>
          <w:sz w:val="28"/>
          <w:szCs w:val="28"/>
          <w:lang w:val="en-GB"/>
        </w:rPr>
      </w:pPr>
      <w:r w:rsidRPr="00EC2C89">
        <w:rPr>
          <w:rFonts w:ascii="Open Sans" w:eastAsia="Calibri" w:hAnsi="Open Sans" w:cs="Open Sans"/>
          <w:b/>
          <w:color w:val="808080" w:themeColor="background1" w:themeShade="80"/>
          <w:sz w:val="28"/>
          <w:szCs w:val="28"/>
          <w:lang w:val="en-GB"/>
        </w:rPr>
        <w:t xml:space="preserve">PLENARY MEETING OF THE LIX </w:t>
      </w:r>
      <w:r w:rsidRPr="00411D81">
        <w:rPr>
          <w:rFonts w:ascii="Open Sans" w:eastAsia="Calibri" w:hAnsi="Open Sans" w:cs="Open Sans"/>
          <w:b/>
          <w:color w:val="808080" w:themeColor="background1" w:themeShade="80"/>
          <w:sz w:val="28"/>
          <w:szCs w:val="28"/>
          <w:lang w:val="en-GB"/>
        </w:rPr>
        <w:t>COSAC</w:t>
      </w:r>
      <w:r w:rsidR="00411D81" w:rsidRPr="00411D81">
        <w:rPr>
          <w:rFonts w:ascii="Open Sans" w:eastAsia="Calibri" w:hAnsi="Open Sans" w:cs="Open Sans"/>
          <w:b/>
          <w:i/>
          <w:color w:val="808080" w:themeColor="background1" w:themeShade="80"/>
          <w:sz w:val="24"/>
          <w:szCs w:val="24"/>
          <w:lang w:val="en-GB"/>
        </w:rPr>
        <w:t xml:space="preserve">        </w:t>
      </w:r>
    </w:p>
    <w:p w14:paraId="6C75E8D8" w14:textId="77777777" w:rsidR="00EC2C89" w:rsidRPr="00914406" w:rsidRDefault="00EC2C89" w:rsidP="00914406">
      <w:pPr>
        <w:spacing w:after="0" w:line="256" w:lineRule="auto"/>
        <w:ind w:hanging="426"/>
        <w:jc w:val="both"/>
        <w:rPr>
          <w:rFonts w:ascii="Open Sans" w:eastAsia="Calibri" w:hAnsi="Open Sans" w:cs="Open Sans"/>
          <w:b/>
          <w:color w:val="808080" w:themeColor="background1" w:themeShade="80"/>
          <w:sz w:val="28"/>
          <w:szCs w:val="28"/>
        </w:rPr>
      </w:pPr>
      <w:r>
        <w:rPr>
          <w:rFonts w:ascii="Open Sans" w:eastAsia="Calibri" w:hAnsi="Open Sans" w:cs="Open Sans"/>
          <w:b/>
          <w:color w:val="808080" w:themeColor="background1" w:themeShade="80"/>
          <w:sz w:val="28"/>
          <w:szCs w:val="28"/>
          <w:lang w:val="en-GB"/>
        </w:rPr>
        <w:t>17-19 June 2018, Sofia</w:t>
      </w:r>
    </w:p>
    <w:p w14:paraId="0272A39A" w14:textId="77777777" w:rsidR="00EC2C89" w:rsidRDefault="0083010B" w:rsidP="00411D81">
      <w:pPr>
        <w:spacing w:after="0" w:line="256" w:lineRule="auto"/>
        <w:ind w:hanging="426"/>
        <w:jc w:val="both"/>
        <w:rPr>
          <w:rFonts w:ascii="Open Sans" w:eastAsia="Calibri" w:hAnsi="Open Sans" w:cs="Open Sans"/>
          <w:b/>
          <w:sz w:val="24"/>
          <w:szCs w:val="24"/>
          <w:lang w:val="en-GB"/>
        </w:rPr>
      </w:pPr>
      <w:r>
        <w:rPr>
          <w:rFonts w:ascii="Open Sans" w:eastAsia="Calibri" w:hAnsi="Open Sans" w:cs="Open Sans"/>
          <w:b/>
          <w:sz w:val="24"/>
          <w:szCs w:val="24"/>
          <w:lang w:val="en-GB"/>
        </w:rPr>
        <w:t>CONTRIBUTION OF THE LIX COSAC</w:t>
      </w:r>
    </w:p>
    <w:p w14:paraId="02FB0B9D" w14:textId="77777777" w:rsidR="00A16C8B" w:rsidRDefault="00A16C8B" w:rsidP="00411D81">
      <w:pPr>
        <w:spacing w:after="0" w:line="256" w:lineRule="auto"/>
        <w:ind w:hanging="426"/>
        <w:jc w:val="both"/>
        <w:rPr>
          <w:rFonts w:ascii="Open Sans" w:eastAsia="Calibri" w:hAnsi="Open Sans" w:cs="Open Sans"/>
          <w:b/>
          <w:sz w:val="24"/>
          <w:szCs w:val="24"/>
        </w:rPr>
      </w:pPr>
    </w:p>
    <w:p w14:paraId="73F93025" w14:textId="77777777" w:rsidR="007513C6" w:rsidRDefault="007513C6" w:rsidP="007513C6">
      <w:pPr>
        <w:rPr>
          <w:rFonts w:ascii="Open Sans" w:eastAsia="Calibri" w:hAnsi="Open Sans" w:cs="Open Sans"/>
          <w:b/>
          <w:sz w:val="24"/>
          <w:szCs w:val="24"/>
          <w:lang w:val="en-US"/>
        </w:rPr>
      </w:pPr>
    </w:p>
    <w:p w14:paraId="39B8EF6D" w14:textId="77777777" w:rsidR="00960D2E" w:rsidRPr="00105191" w:rsidRDefault="007513C6" w:rsidP="007513C6">
      <w:pPr>
        <w:pStyle w:val="a6"/>
        <w:numPr>
          <w:ilvl w:val="0"/>
          <w:numId w:val="1"/>
        </w:numPr>
        <w:spacing w:after="0" w:line="256" w:lineRule="auto"/>
        <w:ind w:left="0" w:right="284" w:hanging="567"/>
        <w:jc w:val="both"/>
        <w:rPr>
          <w:rFonts w:ascii="Open Sans" w:eastAsia="Calibri" w:hAnsi="Open Sans" w:cs="Open Sans"/>
          <w:b/>
          <w:sz w:val="24"/>
          <w:szCs w:val="24"/>
          <w:lang w:val="en-GB"/>
        </w:rPr>
      </w:pPr>
      <w:r w:rsidRPr="00105191">
        <w:rPr>
          <w:rFonts w:ascii="Open Sans" w:eastAsia="Calibri" w:hAnsi="Open Sans" w:cs="Open Sans"/>
          <w:b/>
          <w:sz w:val="24"/>
          <w:szCs w:val="24"/>
          <w:lang w:val="en-GB"/>
        </w:rPr>
        <w:t xml:space="preserve">EU PARLIAMENTS AND CITIZENS  </w:t>
      </w:r>
    </w:p>
    <w:p w14:paraId="06C601D7" w14:textId="77777777" w:rsidR="00960D2E" w:rsidRDefault="00960D2E" w:rsidP="0030233F">
      <w:pPr>
        <w:pStyle w:val="a6"/>
        <w:ind w:left="0" w:right="284" w:hanging="567"/>
        <w:rPr>
          <w:rFonts w:ascii="Open Sans" w:eastAsia="Calibri" w:hAnsi="Open Sans" w:cs="Open Sans"/>
          <w:b/>
          <w:sz w:val="24"/>
          <w:szCs w:val="24"/>
          <w:lang w:val="en-GB"/>
        </w:rPr>
      </w:pPr>
    </w:p>
    <w:p w14:paraId="75415564" w14:textId="77777777" w:rsidR="007D5EB2" w:rsidRDefault="00960D2E" w:rsidP="007D5EB2">
      <w:pPr>
        <w:pStyle w:val="a6"/>
        <w:numPr>
          <w:ilvl w:val="1"/>
          <w:numId w:val="15"/>
        </w:numPr>
        <w:spacing w:after="0" w:line="240" w:lineRule="auto"/>
        <w:ind w:left="0" w:right="284" w:hanging="567"/>
        <w:jc w:val="both"/>
        <w:rPr>
          <w:rFonts w:ascii="Open Sans" w:eastAsia="Times New Roman" w:hAnsi="Open Sans" w:cs="Times New Roman"/>
          <w:sz w:val="24"/>
          <w:szCs w:val="24"/>
          <w:lang w:val="en-US"/>
        </w:rPr>
      </w:pPr>
      <w:r w:rsidRPr="00960D2E">
        <w:rPr>
          <w:rFonts w:ascii="Open Sans" w:eastAsia="Times New Roman" w:hAnsi="Open Sans" w:cs="Times New Roman"/>
          <w:sz w:val="24"/>
          <w:szCs w:val="24"/>
          <w:lang w:val="en-US"/>
        </w:rPr>
        <w:t xml:space="preserve">COSAC </w:t>
      </w:r>
      <w:r w:rsidR="00216D09" w:rsidRPr="00105191">
        <w:rPr>
          <w:rFonts w:ascii="Open Sans" w:eastAsia="Times New Roman" w:hAnsi="Open Sans" w:cs="Times New Roman"/>
          <w:sz w:val="24"/>
          <w:szCs w:val="24"/>
          <w:lang w:val="en-US"/>
        </w:rPr>
        <w:t>highly values</w:t>
      </w:r>
      <w:r w:rsidRPr="00960D2E">
        <w:rPr>
          <w:rFonts w:ascii="Open Sans" w:eastAsia="Times New Roman" w:hAnsi="Open Sans" w:cs="Times New Roman"/>
          <w:sz w:val="24"/>
          <w:szCs w:val="24"/>
          <w:lang w:val="en-US"/>
        </w:rPr>
        <w:t xml:space="preserve"> the cooperation between national Parliaments</w:t>
      </w:r>
      <w:r w:rsidR="00EA0412">
        <w:rPr>
          <w:rFonts w:ascii="Open Sans" w:eastAsia="Times New Roman" w:hAnsi="Open Sans" w:cs="Times New Roman"/>
          <w:sz w:val="24"/>
          <w:szCs w:val="24"/>
          <w:lang w:val="en-US"/>
        </w:rPr>
        <w:t>, as well as with</w:t>
      </w:r>
      <w:r w:rsidRPr="00960D2E">
        <w:rPr>
          <w:rFonts w:ascii="Open Sans" w:eastAsia="Times New Roman" w:hAnsi="Open Sans" w:cs="Times New Roman"/>
          <w:sz w:val="24"/>
          <w:szCs w:val="24"/>
          <w:lang w:val="en-US"/>
        </w:rPr>
        <w:t xml:space="preserve"> the European Parliament. As representatives of the European citizens</w:t>
      </w:r>
      <w:r w:rsidR="00EA0412">
        <w:rPr>
          <w:rFonts w:ascii="Open Sans" w:eastAsia="Times New Roman" w:hAnsi="Open Sans" w:cs="Times New Roman"/>
          <w:sz w:val="24"/>
          <w:szCs w:val="24"/>
          <w:lang w:val="en-US"/>
        </w:rPr>
        <w:t>,</w:t>
      </w:r>
      <w:r w:rsidRPr="00960D2E">
        <w:rPr>
          <w:rFonts w:ascii="Open Sans" w:eastAsia="Times New Roman" w:hAnsi="Open Sans" w:cs="Times New Roman"/>
          <w:sz w:val="24"/>
          <w:szCs w:val="24"/>
          <w:lang w:val="en-US"/>
        </w:rPr>
        <w:t xml:space="preserve"> they have a crucial role in bringing the European agenda closer to the people and ensuring the efficiency</w:t>
      </w:r>
      <w:r>
        <w:rPr>
          <w:rFonts w:ascii="Open Sans" w:eastAsia="Times New Roman" w:hAnsi="Open Sans" w:cs="Times New Roman"/>
          <w:sz w:val="24"/>
          <w:szCs w:val="24"/>
          <w:lang w:val="en-US"/>
        </w:rPr>
        <w:t xml:space="preserve"> of the decision-making process.</w:t>
      </w:r>
    </w:p>
    <w:p w14:paraId="6675D7AF" w14:textId="77777777" w:rsidR="007D5EB2" w:rsidRDefault="007D5EB2" w:rsidP="007D5EB2">
      <w:pPr>
        <w:pStyle w:val="a6"/>
        <w:spacing w:after="0" w:line="240" w:lineRule="auto"/>
        <w:ind w:left="0" w:right="284"/>
        <w:jc w:val="both"/>
        <w:rPr>
          <w:rFonts w:ascii="Open Sans" w:eastAsia="Times New Roman" w:hAnsi="Open Sans" w:cs="Times New Roman"/>
          <w:sz w:val="24"/>
          <w:szCs w:val="24"/>
          <w:lang w:val="en-US"/>
        </w:rPr>
      </w:pPr>
    </w:p>
    <w:p w14:paraId="51E0463D" w14:textId="77777777" w:rsidR="009929FF" w:rsidRPr="00105191" w:rsidRDefault="009929FF" w:rsidP="009929FF">
      <w:pPr>
        <w:pStyle w:val="a6"/>
        <w:numPr>
          <w:ilvl w:val="1"/>
          <w:numId w:val="15"/>
        </w:numPr>
        <w:spacing w:after="0" w:line="240" w:lineRule="auto"/>
        <w:ind w:left="0" w:right="284" w:hanging="567"/>
        <w:jc w:val="both"/>
        <w:rPr>
          <w:rFonts w:ascii="Open Sans" w:eastAsia="Times New Roman" w:hAnsi="Open Sans" w:cs="Times New Roman"/>
          <w:sz w:val="24"/>
          <w:szCs w:val="24"/>
          <w:lang w:val="en-US"/>
        </w:rPr>
      </w:pPr>
      <w:r w:rsidRPr="00105191">
        <w:rPr>
          <w:rFonts w:ascii="Open Sans" w:eastAsia="Times New Roman" w:hAnsi="Open Sans" w:cs="Times New Roman"/>
          <w:sz w:val="24"/>
          <w:szCs w:val="24"/>
          <w:lang w:val="en-US"/>
        </w:rPr>
        <w:t>COSAC underlines the importance of active engagemen</w:t>
      </w:r>
      <w:r w:rsidR="00E85C5C" w:rsidRPr="00105191">
        <w:rPr>
          <w:rFonts w:ascii="Open Sans" w:eastAsia="Times New Roman" w:hAnsi="Open Sans" w:cs="Times New Roman"/>
          <w:sz w:val="24"/>
          <w:szCs w:val="24"/>
          <w:lang w:val="en-US"/>
        </w:rPr>
        <w:t xml:space="preserve">t of the citizens in political </w:t>
      </w:r>
      <w:r w:rsidRPr="00105191">
        <w:rPr>
          <w:rFonts w:ascii="Open Sans" w:eastAsia="Times New Roman" w:hAnsi="Open Sans" w:cs="Times New Roman"/>
          <w:sz w:val="24"/>
          <w:szCs w:val="24"/>
          <w:lang w:val="en-US"/>
        </w:rPr>
        <w:t>life, in particular through elections at regional, national and European level. National Parliaments and the European Parliament encourage all European citizens to use their democratic rights at all levels, including the need to use their right to vote in the upcoming European Elections on 23–26 May 2019.</w:t>
      </w:r>
    </w:p>
    <w:p w14:paraId="23F3810E" w14:textId="77777777" w:rsidR="009929FF" w:rsidRPr="009929FF" w:rsidRDefault="009929FF" w:rsidP="009929FF">
      <w:pPr>
        <w:pStyle w:val="a6"/>
        <w:rPr>
          <w:rFonts w:ascii="Open Sans" w:eastAsia="Times New Roman" w:hAnsi="Open Sans" w:cs="Times New Roman"/>
          <w:sz w:val="24"/>
          <w:szCs w:val="24"/>
          <w:lang w:val="en-US"/>
        </w:rPr>
      </w:pPr>
    </w:p>
    <w:p w14:paraId="4FAAC955" w14:textId="77777777" w:rsidR="009929FF" w:rsidRPr="00105191" w:rsidRDefault="009929FF" w:rsidP="009929FF">
      <w:pPr>
        <w:pStyle w:val="a6"/>
        <w:numPr>
          <w:ilvl w:val="0"/>
          <w:numId w:val="15"/>
        </w:numPr>
        <w:spacing w:after="0" w:line="240" w:lineRule="auto"/>
        <w:ind w:left="0" w:right="284" w:hanging="567"/>
        <w:jc w:val="both"/>
        <w:rPr>
          <w:rFonts w:ascii="Open Sans" w:eastAsia="Times New Roman" w:hAnsi="Open Sans" w:cs="Times New Roman"/>
          <w:b/>
          <w:sz w:val="24"/>
          <w:szCs w:val="24"/>
          <w:lang w:val="en-US"/>
        </w:rPr>
      </w:pPr>
      <w:r w:rsidRPr="00105191">
        <w:rPr>
          <w:rFonts w:ascii="Open Sans" w:eastAsia="Times New Roman" w:hAnsi="Open Sans" w:cs="Times New Roman"/>
          <w:b/>
          <w:sz w:val="24"/>
          <w:szCs w:val="24"/>
          <w:lang w:val="en-US"/>
        </w:rPr>
        <w:t>SUBSIDIARITY AND PROPORTIONALITY</w:t>
      </w:r>
    </w:p>
    <w:p w14:paraId="65FA9426" w14:textId="77777777" w:rsidR="001F2597" w:rsidRDefault="001F2597" w:rsidP="0030233F">
      <w:pPr>
        <w:pStyle w:val="a6"/>
        <w:spacing w:after="0" w:line="240" w:lineRule="auto"/>
        <w:ind w:left="0" w:right="284" w:hanging="567"/>
        <w:jc w:val="both"/>
        <w:rPr>
          <w:rFonts w:ascii="Open Sans" w:eastAsia="Times New Roman" w:hAnsi="Open Sans" w:cs="Times New Roman"/>
          <w:sz w:val="24"/>
          <w:szCs w:val="24"/>
          <w:lang w:val="en-US"/>
        </w:rPr>
      </w:pPr>
    </w:p>
    <w:p w14:paraId="59126094" w14:textId="77777777" w:rsidR="00960D2E" w:rsidRPr="001F2597" w:rsidRDefault="00960D2E" w:rsidP="0030233F">
      <w:pPr>
        <w:pStyle w:val="a6"/>
        <w:numPr>
          <w:ilvl w:val="1"/>
          <w:numId w:val="15"/>
        </w:numPr>
        <w:spacing w:after="0" w:line="240" w:lineRule="auto"/>
        <w:ind w:left="0" w:right="284" w:hanging="567"/>
        <w:jc w:val="both"/>
        <w:rPr>
          <w:rFonts w:ascii="Open Sans" w:eastAsia="Times New Roman" w:hAnsi="Open Sans" w:cs="Times New Roman"/>
          <w:sz w:val="24"/>
          <w:szCs w:val="24"/>
          <w:lang w:val="en-US"/>
        </w:rPr>
      </w:pPr>
      <w:r w:rsidRPr="00960D2E">
        <w:rPr>
          <w:rFonts w:ascii="Open Sans" w:eastAsia="Times New Roman" w:hAnsi="Open Sans" w:cs="Times New Roman"/>
          <w:sz w:val="24"/>
          <w:szCs w:val="24"/>
          <w:lang w:val="en-US"/>
        </w:rPr>
        <w:t>COSAC welcomes the work of the Task Force on Subsidiarity, Proportionality and “Doing Less More Efficiently” and calls on all stakeholders to continue the efforts to improve the application of subsidiarity and proportionality in the Union.</w:t>
      </w:r>
    </w:p>
    <w:p w14:paraId="310FE163" w14:textId="77777777" w:rsidR="001F2597" w:rsidRPr="001F2597" w:rsidRDefault="001F2597" w:rsidP="0030233F">
      <w:pPr>
        <w:spacing w:after="0" w:line="240" w:lineRule="auto"/>
        <w:ind w:right="284" w:hanging="567"/>
        <w:jc w:val="both"/>
        <w:rPr>
          <w:rFonts w:ascii="Open Sans" w:eastAsia="Times New Roman" w:hAnsi="Open Sans" w:cs="Times New Roman"/>
          <w:sz w:val="24"/>
          <w:szCs w:val="24"/>
        </w:rPr>
      </w:pPr>
    </w:p>
    <w:p w14:paraId="494661B7" w14:textId="77777777" w:rsidR="00960D2E" w:rsidRPr="001F2597" w:rsidRDefault="00960D2E" w:rsidP="0030233F">
      <w:pPr>
        <w:pStyle w:val="a6"/>
        <w:numPr>
          <w:ilvl w:val="1"/>
          <w:numId w:val="15"/>
        </w:numPr>
        <w:spacing w:after="0" w:line="240" w:lineRule="auto"/>
        <w:ind w:left="0" w:right="284" w:hanging="567"/>
        <w:jc w:val="both"/>
        <w:rPr>
          <w:rFonts w:ascii="Open Sans" w:eastAsia="Times New Roman" w:hAnsi="Open Sans" w:cs="Times New Roman"/>
          <w:sz w:val="24"/>
          <w:szCs w:val="24"/>
          <w:lang w:val="en-US"/>
        </w:rPr>
      </w:pPr>
      <w:r w:rsidRPr="00960D2E">
        <w:rPr>
          <w:rFonts w:ascii="Open Sans" w:eastAsia="Times New Roman" w:hAnsi="Open Sans" w:cs="Times New Roman"/>
          <w:sz w:val="24"/>
          <w:szCs w:val="24"/>
          <w:lang w:val="en-US"/>
        </w:rPr>
        <w:t xml:space="preserve">While in general the Subsidiarity Early Warning System provides a good opportunity for national Parliaments to </w:t>
      </w:r>
      <w:r w:rsidR="00EA0412">
        <w:rPr>
          <w:rFonts w:ascii="Open Sans" w:eastAsia="Times New Roman" w:hAnsi="Open Sans" w:cs="Times New Roman"/>
          <w:sz w:val="24"/>
          <w:szCs w:val="24"/>
          <w:lang w:val="en-US"/>
        </w:rPr>
        <w:t xml:space="preserve">make </w:t>
      </w:r>
      <w:r w:rsidRPr="00960D2E">
        <w:rPr>
          <w:rFonts w:ascii="Open Sans" w:eastAsia="Times New Roman" w:hAnsi="Open Sans" w:cs="Times New Roman"/>
          <w:sz w:val="24"/>
          <w:szCs w:val="24"/>
          <w:lang w:val="en-US"/>
        </w:rPr>
        <w:t>their voice</w:t>
      </w:r>
      <w:r w:rsidR="00EA0412">
        <w:rPr>
          <w:rFonts w:ascii="Open Sans" w:eastAsia="Times New Roman" w:hAnsi="Open Sans" w:cs="Times New Roman"/>
          <w:sz w:val="24"/>
          <w:szCs w:val="24"/>
          <w:lang w:val="en-US"/>
        </w:rPr>
        <w:t xml:space="preserve"> heard</w:t>
      </w:r>
      <w:r w:rsidRPr="00960D2E">
        <w:rPr>
          <w:rFonts w:ascii="Open Sans" w:eastAsia="Times New Roman" w:hAnsi="Open Sans" w:cs="Times New Roman"/>
          <w:sz w:val="24"/>
          <w:szCs w:val="24"/>
          <w:lang w:val="en-US"/>
        </w:rPr>
        <w:t>, there are still aspects that could and should be improved without changing the treaties, as noted in the contributions of the LIV and LV COSAC.</w:t>
      </w:r>
    </w:p>
    <w:p w14:paraId="2C1F7FA6" w14:textId="77777777" w:rsidR="001F2597" w:rsidRPr="001F2597" w:rsidRDefault="001F2597" w:rsidP="0030233F">
      <w:pPr>
        <w:spacing w:after="0" w:line="240" w:lineRule="auto"/>
        <w:ind w:right="284" w:hanging="567"/>
        <w:jc w:val="both"/>
        <w:rPr>
          <w:rFonts w:ascii="Open Sans" w:eastAsia="Times New Roman" w:hAnsi="Open Sans" w:cs="Times New Roman"/>
          <w:sz w:val="24"/>
          <w:szCs w:val="24"/>
        </w:rPr>
      </w:pPr>
    </w:p>
    <w:p w14:paraId="4F70D8CC" w14:textId="77777777" w:rsidR="00960D2E" w:rsidRPr="001F2597" w:rsidRDefault="00960D2E" w:rsidP="0030233F">
      <w:pPr>
        <w:pStyle w:val="a6"/>
        <w:numPr>
          <w:ilvl w:val="1"/>
          <w:numId w:val="15"/>
        </w:numPr>
        <w:spacing w:after="0" w:line="240" w:lineRule="auto"/>
        <w:ind w:left="0" w:right="284" w:hanging="567"/>
        <w:jc w:val="both"/>
        <w:rPr>
          <w:rFonts w:ascii="Open Sans" w:eastAsia="Times New Roman" w:hAnsi="Open Sans" w:cs="Times New Roman"/>
          <w:sz w:val="24"/>
          <w:szCs w:val="24"/>
          <w:lang w:val="en-US"/>
        </w:rPr>
      </w:pPr>
      <w:r w:rsidRPr="00960D2E">
        <w:rPr>
          <w:rFonts w:ascii="Open Sans" w:eastAsia="Times New Roman" w:hAnsi="Open Sans" w:cs="Times New Roman"/>
          <w:sz w:val="24"/>
          <w:szCs w:val="24"/>
          <w:lang w:val="en-US"/>
        </w:rPr>
        <w:t xml:space="preserve">More specifically, COSAC reiterates its invitation to the European Commission to consider excluding certain periods from the 8-week deadline provided by the treaties for a subsidiarity check, in the same manner as the current arrangement regarding the month of August. Such a period could be the mid-December to New Year break, as suggested by the 24th and 29th Bi-annual Reports, as well as other recess periods that might be </w:t>
      </w:r>
      <w:r w:rsidRPr="00105191">
        <w:rPr>
          <w:rFonts w:ascii="Open Sans" w:eastAsia="Times New Roman" w:hAnsi="Open Sans" w:cs="Times New Roman"/>
          <w:sz w:val="24"/>
          <w:szCs w:val="24"/>
          <w:lang w:val="en-US"/>
        </w:rPr>
        <w:t>further discussed.</w:t>
      </w:r>
      <w:r w:rsidR="00C16584" w:rsidRPr="00105191">
        <w:rPr>
          <w:rFonts w:ascii="Open Sans" w:eastAsia="Times New Roman" w:hAnsi="Open Sans" w:cs="Times New Roman"/>
          <w:sz w:val="24"/>
          <w:szCs w:val="24"/>
          <w:lang w:val="en-US"/>
        </w:rPr>
        <w:t xml:space="preserve"> In addition, possible modalities for an extension of the 8 weeks deadline should be further explored with a view to exte</w:t>
      </w:r>
      <w:r w:rsidR="00B805AD" w:rsidRPr="00105191">
        <w:rPr>
          <w:rFonts w:ascii="Open Sans" w:eastAsia="Times New Roman" w:hAnsi="Open Sans" w:cs="Times New Roman"/>
          <w:sz w:val="24"/>
          <w:szCs w:val="24"/>
          <w:lang w:val="en-US"/>
        </w:rPr>
        <w:t>nding the deadline to 12 weeks.</w:t>
      </w:r>
    </w:p>
    <w:p w14:paraId="3739ED9D" w14:textId="77777777" w:rsidR="001F2597" w:rsidRPr="001F2597" w:rsidRDefault="001F2597" w:rsidP="0030233F">
      <w:pPr>
        <w:spacing w:after="0" w:line="240" w:lineRule="auto"/>
        <w:ind w:right="284" w:hanging="567"/>
        <w:jc w:val="both"/>
        <w:rPr>
          <w:rFonts w:ascii="Open Sans" w:eastAsia="Times New Roman" w:hAnsi="Open Sans" w:cs="Times New Roman"/>
          <w:sz w:val="24"/>
          <w:szCs w:val="24"/>
        </w:rPr>
      </w:pPr>
    </w:p>
    <w:p w14:paraId="445D8244" w14:textId="77777777" w:rsidR="00960D2E" w:rsidRPr="001F2597" w:rsidRDefault="00960D2E" w:rsidP="0030233F">
      <w:pPr>
        <w:pStyle w:val="a6"/>
        <w:numPr>
          <w:ilvl w:val="1"/>
          <w:numId w:val="15"/>
        </w:numPr>
        <w:spacing w:after="0" w:line="240" w:lineRule="auto"/>
        <w:ind w:left="0" w:right="284" w:hanging="567"/>
        <w:jc w:val="both"/>
        <w:rPr>
          <w:rFonts w:ascii="Open Sans" w:eastAsia="Times New Roman" w:hAnsi="Open Sans" w:cs="Times New Roman"/>
          <w:sz w:val="24"/>
          <w:szCs w:val="24"/>
          <w:lang w:val="en-US"/>
        </w:rPr>
      </w:pPr>
      <w:r w:rsidRPr="00960D2E">
        <w:rPr>
          <w:rFonts w:ascii="Open Sans" w:eastAsia="Times New Roman" w:hAnsi="Open Sans" w:cs="Times New Roman"/>
          <w:sz w:val="24"/>
          <w:szCs w:val="24"/>
          <w:lang w:val="en-US"/>
        </w:rPr>
        <w:t>While recognizing the right of each Parliament/Chamber to come up with their own process of subsidiarity scrutiny, COSAC calls for a strengthened cooperation and coordination between national Parliaments in order to maximize the results of their efforts.</w:t>
      </w:r>
    </w:p>
    <w:p w14:paraId="525B4990" w14:textId="77777777" w:rsidR="001F2597" w:rsidRPr="001F2597" w:rsidRDefault="001F2597" w:rsidP="0030233F">
      <w:pPr>
        <w:spacing w:after="0" w:line="240" w:lineRule="auto"/>
        <w:ind w:right="284" w:hanging="567"/>
        <w:jc w:val="both"/>
        <w:rPr>
          <w:rFonts w:ascii="Open Sans" w:eastAsia="Times New Roman" w:hAnsi="Open Sans" w:cs="Times New Roman"/>
          <w:sz w:val="24"/>
          <w:szCs w:val="24"/>
        </w:rPr>
      </w:pPr>
    </w:p>
    <w:p w14:paraId="1321F182" w14:textId="77777777" w:rsidR="00EA0412" w:rsidRDefault="00960D2E" w:rsidP="0030233F">
      <w:pPr>
        <w:pStyle w:val="a6"/>
        <w:numPr>
          <w:ilvl w:val="1"/>
          <w:numId w:val="15"/>
        </w:numPr>
        <w:spacing w:after="0" w:line="240" w:lineRule="auto"/>
        <w:ind w:left="0" w:right="284" w:hanging="567"/>
        <w:jc w:val="both"/>
        <w:rPr>
          <w:rFonts w:ascii="Open Sans" w:eastAsia="Times New Roman" w:hAnsi="Open Sans" w:cs="Times New Roman"/>
          <w:sz w:val="24"/>
          <w:szCs w:val="24"/>
          <w:lang w:val="en-US"/>
        </w:rPr>
      </w:pPr>
      <w:r w:rsidRPr="00960D2E">
        <w:rPr>
          <w:rFonts w:ascii="Open Sans" w:eastAsia="Times New Roman" w:hAnsi="Open Sans" w:cs="Times New Roman"/>
          <w:sz w:val="24"/>
          <w:szCs w:val="24"/>
          <w:lang w:val="en-US"/>
        </w:rPr>
        <w:lastRenderedPageBreak/>
        <w:t>COSAC invites the European Commission to improve the quality of its responses to national Parliaments’ contributions, by providing clear and timely answers to their objections. COSAC also invites the co-legislators to take better notice of the opinions expressed by the national Parliaments, given that they contribute actively to the good functioning of the Union, as stated by Art. 12 of the Treaty on the European Union.</w:t>
      </w:r>
    </w:p>
    <w:p w14:paraId="183AB3B0" w14:textId="77777777" w:rsidR="00FB165A" w:rsidRPr="00FB165A" w:rsidRDefault="00FB165A" w:rsidP="00FB165A">
      <w:pPr>
        <w:pStyle w:val="a6"/>
        <w:rPr>
          <w:rFonts w:ascii="Open Sans" w:eastAsia="Times New Roman" w:hAnsi="Open Sans" w:cs="Times New Roman"/>
          <w:sz w:val="24"/>
          <w:szCs w:val="24"/>
          <w:lang w:val="en-US"/>
        </w:rPr>
      </w:pPr>
    </w:p>
    <w:p w14:paraId="1F0C27E7" w14:textId="77777777" w:rsidR="00FB165A" w:rsidRPr="00105191" w:rsidRDefault="00FB165A" w:rsidP="00FB165A">
      <w:pPr>
        <w:pStyle w:val="a6"/>
        <w:numPr>
          <w:ilvl w:val="1"/>
          <w:numId w:val="15"/>
        </w:numPr>
        <w:spacing w:after="0" w:line="240" w:lineRule="auto"/>
        <w:ind w:left="0" w:right="284" w:hanging="567"/>
        <w:jc w:val="both"/>
        <w:rPr>
          <w:rFonts w:ascii="Open Sans" w:eastAsia="Times New Roman" w:hAnsi="Open Sans" w:cs="Times New Roman"/>
          <w:sz w:val="24"/>
          <w:szCs w:val="24"/>
          <w:lang w:val="en-US"/>
        </w:rPr>
      </w:pPr>
      <w:r w:rsidRPr="00105191">
        <w:rPr>
          <w:rFonts w:ascii="Open Sans" w:eastAsia="Times New Roman" w:hAnsi="Open Sans" w:cs="Times New Roman"/>
          <w:sz w:val="24"/>
          <w:szCs w:val="24"/>
          <w:lang w:val="en-US"/>
        </w:rPr>
        <w:t>COSAC calls on the European Commission to provide better impact assessments within the explanatory memoranda of its legislative proposals in order to justify them properly. COSAC also invites the Commission, in addition to its analysis on principle of subsidiarity, to better elaborate its choice of legal base and its view on the principle of proportionality.</w:t>
      </w:r>
    </w:p>
    <w:p w14:paraId="30638EE7" w14:textId="77777777" w:rsidR="00FB165A" w:rsidRPr="00105191" w:rsidRDefault="00FB165A" w:rsidP="00FB165A">
      <w:pPr>
        <w:pStyle w:val="a6"/>
        <w:spacing w:after="0" w:line="240" w:lineRule="auto"/>
        <w:ind w:left="0" w:right="284"/>
        <w:jc w:val="both"/>
        <w:rPr>
          <w:rFonts w:ascii="Open Sans" w:eastAsia="Times New Roman" w:hAnsi="Open Sans" w:cs="Times New Roman"/>
          <w:sz w:val="24"/>
          <w:szCs w:val="24"/>
          <w:lang w:val="en-US"/>
        </w:rPr>
      </w:pPr>
    </w:p>
    <w:p w14:paraId="766E006B" w14:textId="77777777" w:rsidR="00FB165A" w:rsidRPr="00105191" w:rsidRDefault="00FB165A" w:rsidP="004443D1">
      <w:pPr>
        <w:pStyle w:val="a6"/>
        <w:numPr>
          <w:ilvl w:val="1"/>
          <w:numId w:val="15"/>
        </w:numPr>
        <w:spacing w:after="0" w:line="240" w:lineRule="auto"/>
        <w:ind w:left="0" w:right="284" w:hanging="567"/>
        <w:jc w:val="both"/>
        <w:rPr>
          <w:rFonts w:ascii="Open Sans" w:eastAsia="Times New Roman" w:hAnsi="Open Sans" w:cs="Times New Roman"/>
          <w:sz w:val="24"/>
          <w:szCs w:val="24"/>
          <w:lang w:val="en-US"/>
        </w:rPr>
      </w:pPr>
      <w:r w:rsidRPr="00105191">
        <w:rPr>
          <w:rFonts w:ascii="Open Sans" w:eastAsia="Times New Roman" w:hAnsi="Open Sans" w:cs="Times New Roman"/>
          <w:bCs/>
          <w:sz w:val="24"/>
          <w:szCs w:val="24"/>
          <w:lang w:val="en-GB"/>
        </w:rPr>
        <w:t>COSAC recalls its suggestions included in previous contributions regarding the introduction of a ‘green card’ mechanism that could submit to the European Commission proposal to initiate legislation, as well as amending and repealing existing EU legislation and encourages National Parliaments to continue exploring future possibilities of using ‘green card’ initiatives.</w:t>
      </w:r>
    </w:p>
    <w:p w14:paraId="7512F42A" w14:textId="77777777" w:rsidR="00EC2C89" w:rsidRPr="00105191" w:rsidRDefault="00EC2C89" w:rsidP="00960D2E">
      <w:pPr>
        <w:spacing w:after="0" w:line="256" w:lineRule="auto"/>
        <w:jc w:val="both"/>
        <w:rPr>
          <w:rFonts w:ascii="Open Sans" w:eastAsia="Calibri" w:hAnsi="Open Sans" w:cs="Open Sans"/>
          <w:b/>
          <w:sz w:val="24"/>
          <w:szCs w:val="24"/>
          <w:lang w:val="en-GB"/>
        </w:rPr>
      </w:pPr>
    </w:p>
    <w:p w14:paraId="732DF3A7" w14:textId="77777777" w:rsidR="00EC2C89" w:rsidRPr="00105191" w:rsidRDefault="0083010B" w:rsidP="009929FF">
      <w:pPr>
        <w:pStyle w:val="a6"/>
        <w:numPr>
          <w:ilvl w:val="0"/>
          <w:numId w:val="15"/>
        </w:numPr>
        <w:spacing w:after="0" w:line="240" w:lineRule="auto"/>
        <w:ind w:left="0" w:right="284" w:hanging="567"/>
        <w:jc w:val="both"/>
        <w:rPr>
          <w:rFonts w:ascii="Open Sans" w:eastAsia="Times New Roman" w:hAnsi="Open Sans" w:cs="Times New Roman"/>
          <w:b/>
          <w:sz w:val="24"/>
          <w:szCs w:val="24"/>
          <w:lang w:val="en-US"/>
        </w:rPr>
      </w:pPr>
      <w:r w:rsidRPr="00105191">
        <w:rPr>
          <w:rFonts w:ascii="Open Sans" w:eastAsia="Times New Roman" w:hAnsi="Open Sans" w:cs="Times New Roman"/>
          <w:b/>
          <w:sz w:val="24"/>
          <w:szCs w:val="24"/>
          <w:lang w:val="en-US"/>
        </w:rPr>
        <w:t>INTEGRATION AND CONNECTIVITY OF THE WESTERN BALKANS</w:t>
      </w:r>
    </w:p>
    <w:p w14:paraId="44E94C5F" w14:textId="77777777" w:rsidR="009929FF" w:rsidRDefault="009929FF" w:rsidP="009929FF">
      <w:pPr>
        <w:tabs>
          <w:tab w:val="left" w:pos="-142"/>
        </w:tabs>
        <w:spacing w:after="0" w:line="240" w:lineRule="auto"/>
        <w:ind w:right="284" w:hanging="567"/>
        <w:jc w:val="both"/>
        <w:rPr>
          <w:rFonts w:ascii="Open Sans" w:eastAsia="Calibri" w:hAnsi="Open Sans" w:cs="Open Sans"/>
          <w:i/>
          <w:sz w:val="24"/>
          <w:szCs w:val="24"/>
          <w:lang w:val="en-GB"/>
        </w:rPr>
      </w:pPr>
    </w:p>
    <w:p w14:paraId="4523B858" w14:textId="77777777" w:rsidR="00D92C1D" w:rsidRDefault="00D92C1D" w:rsidP="009929FF">
      <w:pPr>
        <w:pStyle w:val="a6"/>
        <w:numPr>
          <w:ilvl w:val="1"/>
          <w:numId w:val="15"/>
        </w:numPr>
        <w:tabs>
          <w:tab w:val="left" w:pos="0"/>
        </w:tabs>
        <w:spacing w:after="0" w:line="240" w:lineRule="auto"/>
        <w:ind w:left="0" w:right="284" w:hanging="567"/>
        <w:jc w:val="both"/>
        <w:rPr>
          <w:rFonts w:ascii="Open Sans" w:eastAsia="Times New Roman" w:hAnsi="Open Sans" w:cs="Times New Roman"/>
          <w:sz w:val="24"/>
          <w:szCs w:val="24"/>
          <w:lang w:val="en-US"/>
        </w:rPr>
      </w:pPr>
      <w:r w:rsidRPr="009929FF">
        <w:rPr>
          <w:rFonts w:ascii="Open Sans" w:eastAsia="Times New Roman" w:hAnsi="Open Sans" w:cs="Times New Roman"/>
          <w:sz w:val="24"/>
          <w:szCs w:val="24"/>
          <w:lang w:val="en-US"/>
        </w:rPr>
        <w:t xml:space="preserve">COSAC welcomes the European perspective of the Western Balkans with a strong focus on connectivity of the region and improvement of its links with the EU Single market as a strategic central priority of the Bulgarian Presidency of the Council of EU. </w:t>
      </w:r>
    </w:p>
    <w:p w14:paraId="0663EE06" w14:textId="77777777" w:rsidR="009929FF" w:rsidRDefault="009929FF" w:rsidP="009929FF">
      <w:pPr>
        <w:pStyle w:val="a6"/>
        <w:tabs>
          <w:tab w:val="left" w:pos="0"/>
        </w:tabs>
        <w:spacing w:after="0" w:line="240" w:lineRule="auto"/>
        <w:ind w:left="0" w:right="284"/>
        <w:jc w:val="both"/>
        <w:rPr>
          <w:rFonts w:ascii="Open Sans" w:eastAsia="Times New Roman" w:hAnsi="Open Sans" w:cs="Times New Roman"/>
          <w:sz w:val="24"/>
          <w:szCs w:val="24"/>
          <w:lang w:val="en-US"/>
        </w:rPr>
      </w:pPr>
    </w:p>
    <w:p w14:paraId="42AF1ECB" w14:textId="77777777" w:rsidR="009C116F" w:rsidRDefault="00D92C1D" w:rsidP="009929FF">
      <w:pPr>
        <w:pStyle w:val="a6"/>
        <w:numPr>
          <w:ilvl w:val="1"/>
          <w:numId w:val="15"/>
        </w:numPr>
        <w:tabs>
          <w:tab w:val="left" w:pos="0"/>
        </w:tabs>
        <w:spacing w:after="0" w:line="240" w:lineRule="auto"/>
        <w:ind w:left="0" w:right="284" w:hanging="567"/>
        <w:jc w:val="both"/>
        <w:rPr>
          <w:rFonts w:ascii="Open Sans" w:eastAsia="Times New Roman" w:hAnsi="Open Sans" w:cs="Times New Roman"/>
          <w:sz w:val="24"/>
          <w:szCs w:val="24"/>
          <w:lang w:val="en-US"/>
        </w:rPr>
      </w:pPr>
      <w:r w:rsidRPr="009929FF">
        <w:rPr>
          <w:rFonts w:ascii="Open Sans" w:eastAsia="Times New Roman" w:hAnsi="Open Sans" w:cs="Times New Roman"/>
          <w:sz w:val="24"/>
          <w:szCs w:val="24"/>
          <w:lang w:val="en-US"/>
        </w:rPr>
        <w:t>COSAC regards the Communicati</w:t>
      </w:r>
      <w:r w:rsidR="00EA0412" w:rsidRPr="009929FF">
        <w:rPr>
          <w:rFonts w:ascii="Open Sans" w:eastAsia="Times New Roman" w:hAnsi="Open Sans" w:cs="Times New Roman"/>
          <w:sz w:val="24"/>
          <w:szCs w:val="24"/>
          <w:lang w:val="en-US"/>
        </w:rPr>
        <w:t>on from the Commission of 6</w:t>
      </w:r>
      <w:r w:rsidRPr="009929FF">
        <w:rPr>
          <w:rFonts w:ascii="Open Sans" w:eastAsia="Times New Roman" w:hAnsi="Open Sans" w:cs="Times New Roman"/>
          <w:sz w:val="24"/>
          <w:szCs w:val="24"/>
          <w:lang w:val="en-US"/>
        </w:rPr>
        <w:t xml:space="preserve"> February 2018 for </w:t>
      </w:r>
      <w:hyperlink r:id="rId8" w:history="1">
        <w:r w:rsidRPr="009929FF">
          <w:rPr>
            <w:rFonts w:ascii="Open Sans" w:eastAsia="Times New Roman" w:hAnsi="Open Sans" w:cs="Times New Roman"/>
            <w:sz w:val="24"/>
            <w:szCs w:val="24"/>
            <w:lang w:val="en-US"/>
          </w:rPr>
          <w:t>'A credible enlargement perspective for and enhanced EU engagement with the Western Balkans'</w:t>
        </w:r>
      </w:hyperlink>
      <w:r w:rsidR="00F4251E" w:rsidRPr="009929FF">
        <w:rPr>
          <w:rFonts w:ascii="Open Sans" w:eastAsia="Times New Roman" w:hAnsi="Open Sans" w:cs="Times New Roman"/>
          <w:sz w:val="24"/>
          <w:szCs w:val="24"/>
          <w:lang w:val="en-US"/>
        </w:rPr>
        <w:t xml:space="preserve">, as an </w:t>
      </w:r>
      <w:r w:rsidRPr="009929FF">
        <w:rPr>
          <w:rFonts w:ascii="Open Sans" w:eastAsia="Times New Roman" w:hAnsi="Open Sans" w:cs="Times New Roman"/>
          <w:sz w:val="24"/>
          <w:szCs w:val="24"/>
          <w:lang w:val="en-US"/>
        </w:rPr>
        <w:t>investment in a stable, strong and united</w:t>
      </w:r>
      <w:r w:rsidR="001F2597" w:rsidRPr="009929FF">
        <w:rPr>
          <w:rFonts w:ascii="Open Sans" w:eastAsia="Times New Roman" w:hAnsi="Open Sans" w:cs="Times New Roman"/>
          <w:sz w:val="24"/>
          <w:szCs w:val="24"/>
          <w:lang w:val="en-US"/>
        </w:rPr>
        <w:t xml:space="preserve"> Europe based on common values</w:t>
      </w:r>
      <w:r w:rsidR="009929FF">
        <w:rPr>
          <w:rFonts w:ascii="Open Sans" w:eastAsia="Times New Roman" w:hAnsi="Open Sans" w:cs="Times New Roman"/>
          <w:sz w:val="24"/>
          <w:szCs w:val="24"/>
          <w:lang w:val="en-US"/>
        </w:rPr>
        <w:t>.</w:t>
      </w:r>
    </w:p>
    <w:p w14:paraId="533D1794" w14:textId="77777777" w:rsidR="009929FF" w:rsidRDefault="009929FF" w:rsidP="009929FF">
      <w:pPr>
        <w:pStyle w:val="a6"/>
        <w:tabs>
          <w:tab w:val="left" w:pos="0"/>
        </w:tabs>
        <w:spacing w:after="0" w:line="240" w:lineRule="auto"/>
        <w:ind w:left="0" w:right="284"/>
        <w:jc w:val="both"/>
        <w:rPr>
          <w:rFonts w:ascii="Open Sans" w:eastAsia="Times New Roman" w:hAnsi="Open Sans" w:cs="Times New Roman"/>
          <w:sz w:val="24"/>
          <w:szCs w:val="24"/>
          <w:lang w:val="en-US"/>
        </w:rPr>
      </w:pPr>
    </w:p>
    <w:p w14:paraId="69BE6DB1" w14:textId="77777777" w:rsidR="009C116F" w:rsidRDefault="00D92C1D" w:rsidP="009929FF">
      <w:pPr>
        <w:pStyle w:val="a6"/>
        <w:numPr>
          <w:ilvl w:val="1"/>
          <w:numId w:val="15"/>
        </w:numPr>
        <w:tabs>
          <w:tab w:val="left" w:pos="0"/>
        </w:tabs>
        <w:spacing w:after="0" w:line="240" w:lineRule="auto"/>
        <w:ind w:left="0" w:right="284" w:hanging="567"/>
        <w:jc w:val="both"/>
        <w:rPr>
          <w:rFonts w:ascii="Open Sans" w:eastAsia="Times New Roman" w:hAnsi="Open Sans" w:cs="Times New Roman"/>
          <w:sz w:val="24"/>
          <w:szCs w:val="24"/>
          <w:lang w:val="en-US"/>
        </w:rPr>
      </w:pPr>
      <w:r w:rsidRPr="009929FF">
        <w:rPr>
          <w:rFonts w:ascii="Open Sans" w:eastAsia="Times New Roman" w:hAnsi="Open Sans" w:cs="Times New Roman"/>
          <w:sz w:val="24"/>
          <w:szCs w:val="24"/>
          <w:lang w:val="en-US"/>
        </w:rPr>
        <w:t xml:space="preserve">COSAC </w:t>
      </w:r>
      <w:r w:rsidR="004C3237" w:rsidRPr="009929FF">
        <w:rPr>
          <w:rFonts w:ascii="Open Sans" w:eastAsia="Times New Roman" w:hAnsi="Open Sans" w:cs="Times New Roman"/>
          <w:sz w:val="24"/>
          <w:szCs w:val="24"/>
          <w:lang w:val="en-US"/>
        </w:rPr>
        <w:t>welcomes</w:t>
      </w:r>
      <w:r w:rsidRPr="009929FF">
        <w:rPr>
          <w:rFonts w:ascii="Open Sans" w:eastAsia="Times New Roman" w:hAnsi="Open Sans" w:cs="Times New Roman"/>
          <w:sz w:val="24"/>
          <w:szCs w:val="24"/>
          <w:lang w:val="en-US"/>
        </w:rPr>
        <w:t xml:space="preserve"> the reports on the Western Balkans partners and Turkey from 17th of April 2018 and of the conclusions and recommendations therein and </w:t>
      </w:r>
      <w:r w:rsidR="00F4251E" w:rsidRPr="009929FF">
        <w:rPr>
          <w:rFonts w:ascii="Open Sans" w:eastAsia="Times New Roman" w:hAnsi="Open Sans" w:cs="Times New Roman"/>
          <w:sz w:val="24"/>
          <w:szCs w:val="24"/>
          <w:lang w:val="en-US"/>
        </w:rPr>
        <w:t>underlines</w:t>
      </w:r>
      <w:r w:rsidRPr="009929FF">
        <w:rPr>
          <w:rFonts w:ascii="Open Sans" w:eastAsia="Times New Roman" w:hAnsi="Open Sans" w:cs="Times New Roman"/>
          <w:sz w:val="24"/>
          <w:szCs w:val="24"/>
          <w:lang w:val="en-US"/>
        </w:rPr>
        <w:t xml:space="preserve"> that they provide incentives and guidance to the partners from the region to pursue the necessary reforms.</w:t>
      </w:r>
    </w:p>
    <w:p w14:paraId="498312D7" w14:textId="77777777" w:rsidR="009929FF" w:rsidRDefault="009929FF" w:rsidP="009929FF">
      <w:pPr>
        <w:pStyle w:val="a6"/>
        <w:tabs>
          <w:tab w:val="left" w:pos="0"/>
        </w:tabs>
        <w:spacing w:after="0" w:line="240" w:lineRule="auto"/>
        <w:ind w:left="0" w:right="284"/>
        <w:jc w:val="both"/>
        <w:rPr>
          <w:rFonts w:ascii="Open Sans" w:eastAsia="Times New Roman" w:hAnsi="Open Sans" w:cs="Times New Roman"/>
          <w:sz w:val="24"/>
          <w:szCs w:val="24"/>
          <w:lang w:val="en-US"/>
        </w:rPr>
      </w:pPr>
    </w:p>
    <w:p w14:paraId="44769F64" w14:textId="77777777" w:rsidR="00D92C1D" w:rsidRDefault="00D92C1D" w:rsidP="009929FF">
      <w:pPr>
        <w:pStyle w:val="a6"/>
        <w:numPr>
          <w:ilvl w:val="1"/>
          <w:numId w:val="15"/>
        </w:numPr>
        <w:tabs>
          <w:tab w:val="left" w:pos="0"/>
        </w:tabs>
        <w:spacing w:after="0" w:line="240" w:lineRule="auto"/>
        <w:ind w:left="0" w:right="284" w:hanging="567"/>
        <w:jc w:val="both"/>
        <w:rPr>
          <w:rFonts w:ascii="Open Sans" w:eastAsia="Times New Roman" w:hAnsi="Open Sans" w:cs="Times New Roman"/>
          <w:sz w:val="24"/>
          <w:szCs w:val="24"/>
          <w:lang w:val="en-US"/>
        </w:rPr>
      </w:pPr>
      <w:r w:rsidRPr="009929FF">
        <w:rPr>
          <w:rFonts w:ascii="Open Sans" w:eastAsia="Times New Roman" w:hAnsi="Open Sans" w:cs="Times New Roman"/>
          <w:sz w:val="24"/>
          <w:szCs w:val="24"/>
          <w:lang w:val="en-US"/>
        </w:rPr>
        <w:t>COSAC stresses that</w:t>
      </w:r>
      <w:r w:rsidR="00EA0412" w:rsidRPr="009929FF">
        <w:rPr>
          <w:rFonts w:ascii="Open Sans" w:eastAsia="Times New Roman" w:hAnsi="Open Sans" w:cs="Times New Roman"/>
          <w:sz w:val="24"/>
          <w:szCs w:val="24"/>
          <w:lang w:val="en-US"/>
        </w:rPr>
        <w:t xml:space="preserve"> progress towards EU</w:t>
      </w:r>
      <w:r w:rsidR="004C3237" w:rsidRPr="009929FF">
        <w:rPr>
          <w:rFonts w:ascii="Open Sans" w:eastAsia="Times New Roman" w:hAnsi="Open Sans" w:cs="Times New Roman"/>
          <w:sz w:val="24"/>
          <w:szCs w:val="24"/>
          <w:lang w:val="en-US"/>
        </w:rPr>
        <w:t xml:space="preserve"> accession</w:t>
      </w:r>
      <w:r w:rsidRPr="009929FF">
        <w:rPr>
          <w:rFonts w:ascii="Open Sans" w:eastAsia="Times New Roman" w:hAnsi="Open Sans" w:cs="Times New Roman"/>
          <w:sz w:val="24"/>
          <w:szCs w:val="24"/>
          <w:lang w:val="en-US"/>
        </w:rPr>
        <w:t xml:space="preserve"> is based on the respect for the EU values and on the merit-based individual performance of the partners from the region to comply with the Copenhagen criteria and the conditionality of the </w:t>
      </w:r>
      <w:proofErr w:type="spellStart"/>
      <w:r w:rsidRPr="009929FF">
        <w:rPr>
          <w:rFonts w:ascii="Open Sans" w:eastAsia="Times New Roman" w:hAnsi="Open Sans" w:cs="Times New Roman"/>
          <w:sz w:val="24"/>
          <w:szCs w:val="24"/>
          <w:lang w:val="en-US"/>
        </w:rPr>
        <w:t>Stabilisation</w:t>
      </w:r>
      <w:proofErr w:type="spellEnd"/>
      <w:r w:rsidRPr="009929FF">
        <w:rPr>
          <w:rFonts w:ascii="Open Sans" w:eastAsia="Times New Roman" w:hAnsi="Open Sans" w:cs="Times New Roman"/>
          <w:sz w:val="24"/>
          <w:szCs w:val="24"/>
          <w:lang w:val="en-US"/>
        </w:rPr>
        <w:t xml:space="preserve"> and Association Process. </w:t>
      </w:r>
    </w:p>
    <w:p w14:paraId="15CD9EA4" w14:textId="77777777" w:rsidR="009929FF" w:rsidRDefault="009929FF" w:rsidP="009929FF">
      <w:pPr>
        <w:pStyle w:val="a6"/>
        <w:tabs>
          <w:tab w:val="left" w:pos="0"/>
        </w:tabs>
        <w:spacing w:after="0" w:line="240" w:lineRule="auto"/>
        <w:ind w:left="0" w:right="284"/>
        <w:jc w:val="both"/>
        <w:rPr>
          <w:rFonts w:ascii="Open Sans" w:eastAsia="Times New Roman" w:hAnsi="Open Sans" w:cs="Times New Roman"/>
          <w:sz w:val="24"/>
          <w:szCs w:val="24"/>
          <w:lang w:val="en-US"/>
        </w:rPr>
      </w:pPr>
    </w:p>
    <w:p w14:paraId="0C4BAEDB" w14:textId="77777777" w:rsidR="00D92C1D" w:rsidRDefault="004834B3" w:rsidP="009929FF">
      <w:pPr>
        <w:pStyle w:val="a6"/>
        <w:numPr>
          <w:ilvl w:val="1"/>
          <w:numId w:val="15"/>
        </w:numPr>
        <w:tabs>
          <w:tab w:val="left" w:pos="0"/>
        </w:tabs>
        <w:spacing w:after="0" w:line="240" w:lineRule="auto"/>
        <w:ind w:left="0" w:right="284" w:hanging="567"/>
        <w:jc w:val="both"/>
        <w:rPr>
          <w:rFonts w:ascii="Open Sans" w:eastAsia="Times New Roman" w:hAnsi="Open Sans" w:cs="Times New Roman"/>
          <w:sz w:val="24"/>
          <w:szCs w:val="24"/>
          <w:lang w:val="en-US"/>
        </w:rPr>
      </w:pPr>
      <w:r w:rsidRPr="009929FF">
        <w:rPr>
          <w:rFonts w:ascii="Open Sans" w:eastAsia="Times New Roman" w:hAnsi="Open Sans" w:cs="Times New Roman"/>
          <w:sz w:val="24"/>
          <w:szCs w:val="24"/>
          <w:lang w:val="en-US"/>
        </w:rPr>
        <w:t xml:space="preserve">While </w:t>
      </w:r>
      <w:r w:rsidR="00D92C1D" w:rsidRPr="009929FF">
        <w:rPr>
          <w:rFonts w:ascii="Open Sans" w:eastAsia="Times New Roman" w:hAnsi="Open Sans" w:cs="Times New Roman"/>
          <w:sz w:val="24"/>
          <w:szCs w:val="24"/>
          <w:lang w:val="en-US"/>
        </w:rPr>
        <w:t>acknowledg</w:t>
      </w:r>
      <w:r w:rsidRPr="009929FF">
        <w:rPr>
          <w:rFonts w:ascii="Open Sans" w:eastAsia="Times New Roman" w:hAnsi="Open Sans" w:cs="Times New Roman"/>
          <w:sz w:val="24"/>
          <w:szCs w:val="24"/>
          <w:lang w:val="en-US"/>
        </w:rPr>
        <w:t>ing</w:t>
      </w:r>
      <w:r w:rsidR="00D92C1D" w:rsidRPr="009929FF">
        <w:rPr>
          <w:rFonts w:ascii="Open Sans" w:eastAsia="Times New Roman" w:hAnsi="Open Sans" w:cs="Times New Roman"/>
          <w:sz w:val="24"/>
          <w:szCs w:val="24"/>
          <w:lang w:val="en-US"/>
        </w:rPr>
        <w:t xml:space="preserve"> the progress made by the Western Balkans,</w:t>
      </w:r>
      <w:r w:rsidRPr="009929FF">
        <w:rPr>
          <w:rFonts w:ascii="Open Sans" w:eastAsia="Times New Roman" w:hAnsi="Open Sans" w:cs="Times New Roman"/>
          <w:sz w:val="24"/>
          <w:szCs w:val="24"/>
          <w:lang w:val="en-US"/>
        </w:rPr>
        <w:t xml:space="preserve"> COSAC</w:t>
      </w:r>
      <w:r w:rsidR="00D92C1D" w:rsidRPr="009929FF">
        <w:rPr>
          <w:rFonts w:ascii="Open Sans" w:eastAsia="Times New Roman" w:hAnsi="Open Sans" w:cs="Times New Roman"/>
          <w:sz w:val="24"/>
          <w:szCs w:val="24"/>
          <w:lang w:val="en-US"/>
        </w:rPr>
        <w:t xml:space="preserve"> underlin</w:t>
      </w:r>
      <w:r w:rsidRPr="009929FF">
        <w:rPr>
          <w:rFonts w:ascii="Open Sans" w:eastAsia="Times New Roman" w:hAnsi="Open Sans" w:cs="Times New Roman"/>
          <w:sz w:val="24"/>
          <w:szCs w:val="24"/>
          <w:lang w:val="en-US"/>
        </w:rPr>
        <w:t>es</w:t>
      </w:r>
      <w:r w:rsidR="00D92C1D" w:rsidRPr="009929FF">
        <w:rPr>
          <w:rFonts w:ascii="Open Sans" w:eastAsia="Times New Roman" w:hAnsi="Open Sans" w:cs="Times New Roman"/>
          <w:sz w:val="24"/>
          <w:szCs w:val="24"/>
          <w:lang w:val="en-US"/>
        </w:rPr>
        <w:t xml:space="preserve"> that more efforts are needed to accelerate domestic reform processes and achieve irreversible and sustainable results, notably in the areas of rule of law, </w:t>
      </w:r>
      <w:r w:rsidR="009907BA" w:rsidRPr="009929FF">
        <w:rPr>
          <w:rFonts w:ascii="Open Sans" w:eastAsia="Times New Roman" w:hAnsi="Open Sans" w:cs="Times New Roman"/>
          <w:sz w:val="24"/>
          <w:szCs w:val="24"/>
          <w:lang w:val="en-US"/>
        </w:rPr>
        <w:t xml:space="preserve">fight against corruption and organized crime, </w:t>
      </w:r>
      <w:r w:rsidR="00D92C1D" w:rsidRPr="009929FF">
        <w:rPr>
          <w:rFonts w:ascii="Open Sans" w:eastAsia="Times New Roman" w:hAnsi="Open Sans" w:cs="Times New Roman"/>
          <w:sz w:val="24"/>
          <w:szCs w:val="24"/>
          <w:lang w:val="en-US"/>
        </w:rPr>
        <w:t xml:space="preserve">human rights, </w:t>
      </w:r>
      <w:r w:rsidR="009907BA" w:rsidRPr="009929FF">
        <w:rPr>
          <w:rFonts w:ascii="Open Sans" w:eastAsia="Times New Roman" w:hAnsi="Open Sans" w:cs="Times New Roman"/>
          <w:sz w:val="24"/>
          <w:szCs w:val="24"/>
          <w:lang w:val="en-US"/>
        </w:rPr>
        <w:t xml:space="preserve">freedom of expression and independence of media, </w:t>
      </w:r>
      <w:r w:rsidR="00D92C1D" w:rsidRPr="009929FF">
        <w:rPr>
          <w:rFonts w:ascii="Open Sans" w:eastAsia="Times New Roman" w:hAnsi="Open Sans" w:cs="Times New Roman"/>
          <w:sz w:val="24"/>
          <w:szCs w:val="24"/>
          <w:lang w:val="en-US"/>
        </w:rPr>
        <w:t xml:space="preserve">strengthening the democratic institutions and </w:t>
      </w:r>
      <w:r w:rsidR="009907BA" w:rsidRPr="009929FF">
        <w:rPr>
          <w:rFonts w:ascii="Open Sans" w:eastAsia="Times New Roman" w:hAnsi="Open Sans" w:cs="Times New Roman"/>
          <w:sz w:val="24"/>
          <w:szCs w:val="24"/>
          <w:lang w:val="en-US"/>
        </w:rPr>
        <w:t>public administration reform</w:t>
      </w:r>
      <w:r w:rsidRPr="009929FF">
        <w:rPr>
          <w:rFonts w:ascii="Open Sans" w:eastAsia="Times New Roman" w:hAnsi="Open Sans" w:cs="Times New Roman"/>
          <w:sz w:val="24"/>
          <w:szCs w:val="24"/>
          <w:lang w:val="en-US"/>
        </w:rPr>
        <w:t>,</w:t>
      </w:r>
      <w:r w:rsidR="00D92C1D" w:rsidRPr="009929FF">
        <w:rPr>
          <w:rFonts w:ascii="Open Sans" w:eastAsia="Times New Roman" w:hAnsi="Open Sans" w:cs="Times New Roman"/>
          <w:sz w:val="24"/>
          <w:szCs w:val="24"/>
          <w:lang w:val="en-US"/>
        </w:rPr>
        <w:t xml:space="preserve"> as well as </w:t>
      </w:r>
      <w:r w:rsidR="009907BA" w:rsidRPr="009929FF">
        <w:rPr>
          <w:rFonts w:ascii="Open Sans" w:eastAsia="Times New Roman" w:hAnsi="Open Sans" w:cs="Times New Roman"/>
          <w:sz w:val="24"/>
          <w:szCs w:val="24"/>
          <w:lang w:val="en-US"/>
        </w:rPr>
        <w:t>economic development and competitiveness</w:t>
      </w:r>
      <w:r w:rsidR="00D92C1D" w:rsidRPr="009929FF">
        <w:rPr>
          <w:rFonts w:ascii="Open Sans" w:eastAsia="Times New Roman" w:hAnsi="Open Sans" w:cs="Times New Roman"/>
          <w:sz w:val="24"/>
          <w:szCs w:val="24"/>
          <w:lang w:val="en-US"/>
        </w:rPr>
        <w:t xml:space="preserve">, thereby increasing stability and </w:t>
      </w:r>
      <w:r w:rsidR="00F4251E" w:rsidRPr="009929FF">
        <w:rPr>
          <w:rFonts w:ascii="Open Sans" w:eastAsia="Times New Roman" w:hAnsi="Open Sans" w:cs="Times New Roman"/>
          <w:sz w:val="24"/>
          <w:szCs w:val="24"/>
          <w:lang w:val="en-US"/>
        </w:rPr>
        <w:t xml:space="preserve">ensuring </w:t>
      </w:r>
      <w:r w:rsidR="00D92C1D" w:rsidRPr="009929FF">
        <w:rPr>
          <w:rFonts w:ascii="Open Sans" w:eastAsia="Times New Roman" w:hAnsi="Open Sans" w:cs="Times New Roman"/>
          <w:sz w:val="24"/>
          <w:szCs w:val="24"/>
          <w:lang w:val="en-US"/>
        </w:rPr>
        <w:t xml:space="preserve">prosperity in the region. </w:t>
      </w:r>
    </w:p>
    <w:p w14:paraId="4E7FC0A7" w14:textId="77777777" w:rsidR="009929FF" w:rsidRDefault="009929FF" w:rsidP="009929FF">
      <w:pPr>
        <w:pStyle w:val="a6"/>
        <w:tabs>
          <w:tab w:val="left" w:pos="0"/>
        </w:tabs>
        <w:spacing w:after="0" w:line="240" w:lineRule="auto"/>
        <w:ind w:left="0" w:right="284"/>
        <w:jc w:val="both"/>
        <w:rPr>
          <w:rFonts w:ascii="Open Sans" w:eastAsia="Times New Roman" w:hAnsi="Open Sans" w:cs="Times New Roman"/>
          <w:sz w:val="24"/>
          <w:szCs w:val="24"/>
          <w:lang w:val="en-US"/>
        </w:rPr>
      </w:pPr>
    </w:p>
    <w:p w14:paraId="160EB03F" w14:textId="77777777" w:rsidR="00D92C1D" w:rsidRDefault="00D92C1D" w:rsidP="009929FF">
      <w:pPr>
        <w:pStyle w:val="a6"/>
        <w:numPr>
          <w:ilvl w:val="1"/>
          <w:numId w:val="15"/>
        </w:numPr>
        <w:tabs>
          <w:tab w:val="left" w:pos="0"/>
        </w:tabs>
        <w:spacing w:after="0" w:line="240" w:lineRule="auto"/>
        <w:ind w:left="0" w:right="284" w:hanging="567"/>
        <w:jc w:val="both"/>
        <w:rPr>
          <w:rFonts w:ascii="Open Sans" w:eastAsia="Times New Roman" w:hAnsi="Open Sans" w:cs="Times New Roman"/>
          <w:sz w:val="24"/>
          <w:szCs w:val="24"/>
          <w:lang w:val="en-US"/>
        </w:rPr>
      </w:pPr>
      <w:r w:rsidRPr="009929FF">
        <w:rPr>
          <w:rFonts w:ascii="Open Sans" w:eastAsia="Times New Roman" w:hAnsi="Open Sans" w:cs="Times New Roman"/>
          <w:sz w:val="24"/>
          <w:szCs w:val="24"/>
          <w:lang w:val="en-US"/>
        </w:rPr>
        <w:t xml:space="preserve">COSAC </w:t>
      </w:r>
      <w:r w:rsidR="009907BA" w:rsidRPr="009929FF">
        <w:rPr>
          <w:rFonts w:ascii="Open Sans" w:eastAsia="Times New Roman" w:hAnsi="Open Sans" w:cs="Times New Roman"/>
          <w:sz w:val="24"/>
          <w:szCs w:val="24"/>
          <w:lang w:val="en-US"/>
        </w:rPr>
        <w:t>notes</w:t>
      </w:r>
      <w:r w:rsidRPr="009929FF">
        <w:rPr>
          <w:rFonts w:ascii="Open Sans" w:eastAsia="Times New Roman" w:hAnsi="Open Sans" w:cs="Times New Roman"/>
          <w:sz w:val="24"/>
          <w:szCs w:val="24"/>
          <w:lang w:val="en-US"/>
        </w:rPr>
        <w:t xml:space="preserve"> that continued steady efforts are needed to tackle outstanding bilateral disputes in the region, including border disputes, in order to ensure that they do not have a detrimental effect on the accession process. COSAC stresses that the outstanding disputes and issues should be solved in line with international law and established principles, including through implementation of legally binding agreements.</w:t>
      </w:r>
    </w:p>
    <w:p w14:paraId="4C8C11BD" w14:textId="77777777" w:rsidR="009929FF" w:rsidRDefault="009929FF" w:rsidP="009929FF">
      <w:pPr>
        <w:pStyle w:val="a6"/>
        <w:tabs>
          <w:tab w:val="left" w:pos="0"/>
        </w:tabs>
        <w:spacing w:after="0" w:line="240" w:lineRule="auto"/>
        <w:ind w:left="0" w:right="284"/>
        <w:jc w:val="both"/>
        <w:rPr>
          <w:rFonts w:ascii="Open Sans" w:eastAsia="Times New Roman" w:hAnsi="Open Sans" w:cs="Times New Roman"/>
          <w:sz w:val="24"/>
          <w:szCs w:val="24"/>
          <w:lang w:val="en-US"/>
        </w:rPr>
      </w:pPr>
    </w:p>
    <w:p w14:paraId="349169FC" w14:textId="77777777" w:rsidR="00960D2E" w:rsidRDefault="00D92C1D" w:rsidP="009929FF">
      <w:pPr>
        <w:pStyle w:val="a6"/>
        <w:numPr>
          <w:ilvl w:val="1"/>
          <w:numId w:val="15"/>
        </w:numPr>
        <w:tabs>
          <w:tab w:val="left" w:pos="0"/>
        </w:tabs>
        <w:spacing w:after="0" w:line="240" w:lineRule="auto"/>
        <w:ind w:left="0" w:right="284" w:hanging="567"/>
        <w:jc w:val="both"/>
        <w:rPr>
          <w:rFonts w:ascii="Open Sans" w:eastAsia="Times New Roman" w:hAnsi="Open Sans" w:cs="Times New Roman"/>
          <w:sz w:val="24"/>
          <w:szCs w:val="24"/>
          <w:lang w:val="en-US"/>
        </w:rPr>
      </w:pPr>
      <w:r w:rsidRPr="009929FF">
        <w:rPr>
          <w:rFonts w:ascii="Open Sans" w:eastAsia="Times New Roman" w:hAnsi="Open Sans" w:cs="Times New Roman"/>
          <w:sz w:val="24"/>
          <w:szCs w:val="24"/>
          <w:lang w:val="en-US"/>
        </w:rPr>
        <w:t xml:space="preserve">In line with the respective Council Conclusions on 22 March, COSAC welcomes the EU's unequivocal commitment to the European perspective of the Western Balkans reaffirmed in the Sofia Declaration from 17th of May 2018. </w:t>
      </w:r>
    </w:p>
    <w:p w14:paraId="499BB8B8" w14:textId="77777777" w:rsidR="009929FF" w:rsidRDefault="009929FF" w:rsidP="009929FF">
      <w:pPr>
        <w:pStyle w:val="a6"/>
        <w:tabs>
          <w:tab w:val="left" w:pos="0"/>
        </w:tabs>
        <w:spacing w:after="0" w:line="240" w:lineRule="auto"/>
        <w:ind w:left="0" w:right="284"/>
        <w:jc w:val="both"/>
        <w:rPr>
          <w:rFonts w:ascii="Open Sans" w:eastAsia="Times New Roman" w:hAnsi="Open Sans" w:cs="Times New Roman"/>
          <w:sz w:val="24"/>
          <w:szCs w:val="24"/>
          <w:lang w:val="en-US"/>
        </w:rPr>
      </w:pPr>
    </w:p>
    <w:p w14:paraId="760A5251" w14:textId="77777777" w:rsidR="00960D2E" w:rsidRDefault="009907BA" w:rsidP="009929FF">
      <w:pPr>
        <w:pStyle w:val="a6"/>
        <w:numPr>
          <w:ilvl w:val="1"/>
          <w:numId w:val="15"/>
        </w:numPr>
        <w:tabs>
          <w:tab w:val="left" w:pos="0"/>
        </w:tabs>
        <w:spacing w:after="0" w:line="240" w:lineRule="auto"/>
        <w:ind w:left="0" w:right="284" w:hanging="567"/>
        <w:jc w:val="both"/>
        <w:rPr>
          <w:rFonts w:ascii="Open Sans" w:eastAsia="Times New Roman" w:hAnsi="Open Sans" w:cs="Times New Roman"/>
          <w:sz w:val="24"/>
          <w:szCs w:val="24"/>
          <w:lang w:val="en-US"/>
        </w:rPr>
      </w:pPr>
      <w:r w:rsidRPr="009929FF">
        <w:rPr>
          <w:rFonts w:ascii="Open Sans" w:eastAsia="Times New Roman" w:hAnsi="Open Sans" w:cs="Times New Roman"/>
          <w:sz w:val="24"/>
          <w:szCs w:val="24"/>
          <w:lang w:val="en-US"/>
        </w:rPr>
        <w:t xml:space="preserve">COSAC </w:t>
      </w:r>
      <w:r w:rsidR="004C3237" w:rsidRPr="009929FF">
        <w:rPr>
          <w:rFonts w:ascii="Open Sans" w:eastAsia="Times New Roman" w:hAnsi="Open Sans" w:cs="Times New Roman"/>
          <w:sz w:val="24"/>
          <w:szCs w:val="24"/>
          <w:lang w:val="en-US"/>
        </w:rPr>
        <w:t>expresses its support for</w:t>
      </w:r>
      <w:r w:rsidR="00D92C1D" w:rsidRPr="009929FF">
        <w:rPr>
          <w:rFonts w:ascii="Open Sans" w:eastAsia="Times New Roman" w:hAnsi="Open Sans" w:cs="Times New Roman"/>
          <w:sz w:val="24"/>
          <w:szCs w:val="24"/>
          <w:lang w:val="en-US"/>
        </w:rPr>
        <w:t xml:space="preserve"> the goals, commitments and outcomes of the EU – Western Balkans Summit in Sofia and its intense agenda for better and efficient infrastructure and digital connectivity, as well as contacts between people and learning opportunities, </w:t>
      </w:r>
      <w:r w:rsidRPr="009929FF">
        <w:rPr>
          <w:rFonts w:ascii="Open Sans" w:eastAsia="Times New Roman" w:hAnsi="Open Sans" w:cs="Times New Roman"/>
          <w:sz w:val="24"/>
          <w:szCs w:val="24"/>
          <w:lang w:val="en-US"/>
        </w:rPr>
        <w:t>making the</w:t>
      </w:r>
      <w:r w:rsidR="00D92C1D" w:rsidRPr="009929FF">
        <w:rPr>
          <w:rFonts w:ascii="Open Sans" w:eastAsia="Times New Roman" w:hAnsi="Open Sans" w:cs="Times New Roman"/>
          <w:sz w:val="24"/>
          <w:szCs w:val="24"/>
          <w:lang w:val="en-US"/>
        </w:rPr>
        <w:t xml:space="preserve"> European perspective </w:t>
      </w:r>
      <w:r w:rsidRPr="009929FF">
        <w:rPr>
          <w:rFonts w:ascii="Open Sans" w:eastAsia="Times New Roman" w:hAnsi="Open Sans" w:cs="Times New Roman"/>
          <w:sz w:val="24"/>
          <w:szCs w:val="24"/>
          <w:lang w:val="en-US"/>
        </w:rPr>
        <w:t xml:space="preserve">for the region </w:t>
      </w:r>
      <w:r w:rsidR="00D92C1D" w:rsidRPr="009929FF">
        <w:rPr>
          <w:rFonts w:ascii="Open Sans" w:eastAsia="Times New Roman" w:hAnsi="Open Sans" w:cs="Times New Roman"/>
          <w:sz w:val="24"/>
          <w:szCs w:val="24"/>
          <w:lang w:val="en-US"/>
        </w:rPr>
        <w:t xml:space="preserve">more tangible, delivering direct impact and substantial benefits to the people and business from the region and EU. </w:t>
      </w:r>
      <w:r w:rsidR="004C3237" w:rsidRPr="009929FF">
        <w:rPr>
          <w:rFonts w:ascii="Open Sans" w:eastAsia="Times New Roman" w:hAnsi="Open Sans" w:cs="Times New Roman"/>
          <w:sz w:val="24"/>
          <w:szCs w:val="24"/>
          <w:lang w:val="en-US"/>
        </w:rPr>
        <w:t>Implementation of the adopted Sofia Priority Agenda should remain in the focus of the next Presidencies of the Council.</w:t>
      </w:r>
    </w:p>
    <w:p w14:paraId="0504E7B6" w14:textId="77777777" w:rsidR="009929FF" w:rsidRDefault="009929FF" w:rsidP="009929FF">
      <w:pPr>
        <w:pStyle w:val="a6"/>
        <w:tabs>
          <w:tab w:val="left" w:pos="0"/>
        </w:tabs>
        <w:spacing w:after="0" w:line="240" w:lineRule="auto"/>
        <w:ind w:left="0" w:right="284"/>
        <w:jc w:val="both"/>
        <w:rPr>
          <w:rFonts w:ascii="Open Sans" w:eastAsia="Times New Roman" w:hAnsi="Open Sans" w:cs="Times New Roman"/>
          <w:sz w:val="24"/>
          <w:szCs w:val="24"/>
          <w:lang w:val="en-US"/>
        </w:rPr>
      </w:pPr>
    </w:p>
    <w:p w14:paraId="2839F561" w14:textId="77777777" w:rsidR="00D92C1D" w:rsidRDefault="00D92C1D" w:rsidP="009929FF">
      <w:pPr>
        <w:pStyle w:val="a6"/>
        <w:numPr>
          <w:ilvl w:val="1"/>
          <w:numId w:val="15"/>
        </w:numPr>
        <w:tabs>
          <w:tab w:val="left" w:pos="0"/>
        </w:tabs>
        <w:spacing w:after="0" w:line="240" w:lineRule="auto"/>
        <w:ind w:left="0" w:right="284" w:hanging="567"/>
        <w:jc w:val="both"/>
        <w:rPr>
          <w:rFonts w:ascii="Open Sans" w:eastAsia="Times New Roman" w:hAnsi="Open Sans" w:cs="Times New Roman"/>
          <w:sz w:val="24"/>
          <w:szCs w:val="24"/>
          <w:lang w:val="en-US"/>
        </w:rPr>
      </w:pPr>
      <w:r w:rsidRPr="009929FF">
        <w:rPr>
          <w:rFonts w:ascii="Open Sans" w:eastAsia="Times New Roman" w:hAnsi="Open Sans" w:cs="Times New Roman"/>
          <w:sz w:val="24"/>
          <w:szCs w:val="24"/>
          <w:lang w:val="en-US"/>
        </w:rPr>
        <w:t xml:space="preserve">COSAC stresses that the threat posed by </w:t>
      </w:r>
      <w:proofErr w:type="spellStart"/>
      <w:r w:rsidRPr="009929FF">
        <w:rPr>
          <w:rFonts w:ascii="Open Sans" w:eastAsia="Times New Roman" w:hAnsi="Open Sans" w:cs="Times New Roman"/>
          <w:sz w:val="24"/>
          <w:szCs w:val="24"/>
          <w:lang w:val="en-US"/>
        </w:rPr>
        <w:t>radicalisation</w:t>
      </w:r>
      <w:proofErr w:type="spellEnd"/>
      <w:r w:rsidRPr="009929FF">
        <w:rPr>
          <w:rFonts w:ascii="Open Sans" w:eastAsia="Times New Roman" w:hAnsi="Open Sans" w:cs="Times New Roman"/>
          <w:sz w:val="24"/>
          <w:szCs w:val="24"/>
          <w:lang w:val="en-US"/>
        </w:rPr>
        <w:t xml:space="preserve">, terrorism and violent extremism requires EU and partners from the Western Balkans to develop strengthened mutual cooperation and increased exchange of information and best practices in the areas of shaping common values, preventing radicalization and responding to terrorist activities. COSAC also underlines that joined actions are needed in the field of migration, asylum and border management, the fight against irregular migration flows and trafficking of human beings. </w:t>
      </w:r>
    </w:p>
    <w:p w14:paraId="52874FEC" w14:textId="77777777" w:rsidR="009929FF" w:rsidRDefault="009929FF" w:rsidP="009929FF">
      <w:pPr>
        <w:pStyle w:val="a6"/>
        <w:tabs>
          <w:tab w:val="left" w:pos="0"/>
        </w:tabs>
        <w:spacing w:after="0" w:line="240" w:lineRule="auto"/>
        <w:ind w:left="0" w:right="284"/>
        <w:jc w:val="both"/>
        <w:rPr>
          <w:rFonts w:ascii="Open Sans" w:eastAsia="Times New Roman" w:hAnsi="Open Sans" w:cs="Times New Roman"/>
          <w:sz w:val="24"/>
          <w:szCs w:val="24"/>
          <w:lang w:val="en-US"/>
        </w:rPr>
      </w:pPr>
    </w:p>
    <w:p w14:paraId="2C11E7BA" w14:textId="77777777" w:rsidR="0003232D" w:rsidRDefault="00D92C1D" w:rsidP="009929FF">
      <w:pPr>
        <w:pStyle w:val="a6"/>
        <w:numPr>
          <w:ilvl w:val="1"/>
          <w:numId w:val="15"/>
        </w:numPr>
        <w:tabs>
          <w:tab w:val="left" w:pos="0"/>
        </w:tabs>
        <w:spacing w:after="0" w:line="240" w:lineRule="auto"/>
        <w:ind w:left="0" w:right="284" w:hanging="567"/>
        <w:jc w:val="both"/>
        <w:rPr>
          <w:rFonts w:ascii="Open Sans" w:eastAsia="Times New Roman" w:hAnsi="Open Sans" w:cs="Times New Roman"/>
          <w:sz w:val="24"/>
          <w:szCs w:val="24"/>
          <w:lang w:val="en-US"/>
        </w:rPr>
      </w:pPr>
      <w:r w:rsidRPr="009929FF">
        <w:rPr>
          <w:rFonts w:ascii="Open Sans" w:eastAsia="Times New Roman" w:hAnsi="Open Sans" w:cs="Times New Roman"/>
          <w:sz w:val="24"/>
          <w:szCs w:val="24"/>
          <w:lang w:val="en-US"/>
        </w:rPr>
        <w:t xml:space="preserve">COSAC </w:t>
      </w:r>
      <w:r w:rsidR="004834B3" w:rsidRPr="009929FF">
        <w:rPr>
          <w:rFonts w:ascii="Open Sans" w:eastAsia="Times New Roman" w:hAnsi="Open Sans" w:cs="Times New Roman"/>
          <w:sz w:val="24"/>
          <w:szCs w:val="24"/>
          <w:lang w:val="en-US"/>
        </w:rPr>
        <w:t>notes</w:t>
      </w:r>
      <w:r w:rsidRPr="009929FF">
        <w:rPr>
          <w:rFonts w:ascii="Open Sans" w:eastAsia="Times New Roman" w:hAnsi="Open Sans" w:cs="Times New Roman"/>
          <w:sz w:val="24"/>
          <w:szCs w:val="24"/>
          <w:lang w:val="en-US"/>
        </w:rPr>
        <w:t xml:space="preserve"> that parliamentary oversight of the pre-accession and negotiation process </w:t>
      </w:r>
      <w:r w:rsidR="004834B3" w:rsidRPr="009929FF">
        <w:rPr>
          <w:rFonts w:ascii="Open Sans" w:eastAsia="Times New Roman" w:hAnsi="Open Sans" w:cs="Times New Roman"/>
          <w:sz w:val="24"/>
          <w:szCs w:val="24"/>
          <w:lang w:val="en-US"/>
        </w:rPr>
        <w:t>bestows on them</w:t>
      </w:r>
      <w:r w:rsidRPr="009929FF">
        <w:rPr>
          <w:rFonts w:ascii="Open Sans" w:eastAsia="Times New Roman" w:hAnsi="Open Sans" w:cs="Times New Roman"/>
          <w:sz w:val="24"/>
          <w:szCs w:val="24"/>
          <w:lang w:val="en-US"/>
        </w:rPr>
        <w:t xml:space="preserve"> </w:t>
      </w:r>
      <w:r w:rsidR="004834B3" w:rsidRPr="009929FF">
        <w:rPr>
          <w:rFonts w:ascii="Open Sans" w:eastAsia="Times New Roman" w:hAnsi="Open Sans" w:cs="Times New Roman"/>
          <w:sz w:val="24"/>
          <w:szCs w:val="24"/>
          <w:lang w:val="en-US"/>
        </w:rPr>
        <w:t>greater</w:t>
      </w:r>
      <w:r w:rsidR="00166FD6" w:rsidRPr="009929FF">
        <w:rPr>
          <w:rFonts w:ascii="Open Sans" w:eastAsia="Times New Roman" w:hAnsi="Open Sans" w:cs="Times New Roman"/>
          <w:sz w:val="24"/>
          <w:szCs w:val="24"/>
          <w:lang w:val="en-US"/>
        </w:rPr>
        <w:t xml:space="preserve"> </w:t>
      </w:r>
      <w:r w:rsidRPr="009929FF">
        <w:rPr>
          <w:rFonts w:ascii="Open Sans" w:eastAsia="Times New Roman" w:hAnsi="Open Sans" w:cs="Times New Roman"/>
          <w:sz w:val="24"/>
          <w:szCs w:val="24"/>
          <w:lang w:val="en-US"/>
        </w:rPr>
        <w:t xml:space="preserve">democratic legitimacy, </w:t>
      </w:r>
      <w:r w:rsidR="00166FD6" w:rsidRPr="009929FF">
        <w:rPr>
          <w:rFonts w:ascii="Open Sans" w:eastAsia="Times New Roman" w:hAnsi="Open Sans" w:cs="Times New Roman"/>
          <w:sz w:val="24"/>
          <w:szCs w:val="24"/>
          <w:lang w:val="en-US"/>
        </w:rPr>
        <w:t>increasing the</w:t>
      </w:r>
      <w:r w:rsidRPr="009929FF">
        <w:rPr>
          <w:rFonts w:ascii="Open Sans" w:eastAsia="Times New Roman" w:hAnsi="Open Sans" w:cs="Times New Roman"/>
          <w:sz w:val="24"/>
          <w:szCs w:val="24"/>
          <w:lang w:val="en-US"/>
        </w:rPr>
        <w:t xml:space="preserve"> transparency of the process and </w:t>
      </w:r>
      <w:r w:rsidR="00166FD6" w:rsidRPr="009929FF">
        <w:rPr>
          <w:rFonts w:ascii="Open Sans" w:eastAsia="Times New Roman" w:hAnsi="Open Sans" w:cs="Times New Roman"/>
          <w:sz w:val="24"/>
          <w:szCs w:val="24"/>
          <w:lang w:val="en-US"/>
        </w:rPr>
        <w:t xml:space="preserve">improving the </w:t>
      </w:r>
      <w:r w:rsidRPr="009929FF">
        <w:rPr>
          <w:rFonts w:ascii="Open Sans" w:eastAsia="Times New Roman" w:hAnsi="Open Sans" w:cs="Times New Roman"/>
          <w:sz w:val="24"/>
          <w:szCs w:val="24"/>
          <w:lang w:val="en-US"/>
        </w:rPr>
        <w:t>strategic communication with th</w:t>
      </w:r>
      <w:r w:rsidR="00166FD6" w:rsidRPr="009929FF">
        <w:rPr>
          <w:rFonts w:ascii="Open Sans" w:eastAsia="Times New Roman" w:hAnsi="Open Sans" w:cs="Times New Roman"/>
          <w:sz w:val="24"/>
          <w:szCs w:val="24"/>
          <w:lang w:val="en-US"/>
        </w:rPr>
        <w:t>e public on all</w:t>
      </w:r>
      <w:r w:rsidRPr="009929FF">
        <w:rPr>
          <w:rFonts w:ascii="Open Sans" w:eastAsia="Times New Roman" w:hAnsi="Open Sans" w:cs="Times New Roman"/>
          <w:sz w:val="24"/>
          <w:szCs w:val="24"/>
          <w:lang w:val="en-US"/>
        </w:rPr>
        <w:t xml:space="preserve"> EU </w:t>
      </w:r>
      <w:r w:rsidR="00166FD6" w:rsidRPr="009929FF">
        <w:rPr>
          <w:rFonts w:ascii="Open Sans" w:eastAsia="Times New Roman" w:hAnsi="Open Sans" w:cs="Times New Roman"/>
          <w:sz w:val="24"/>
          <w:szCs w:val="24"/>
          <w:lang w:val="en-US"/>
        </w:rPr>
        <w:t>matters</w:t>
      </w:r>
      <w:r w:rsidRPr="009929FF">
        <w:rPr>
          <w:rFonts w:ascii="Open Sans" w:eastAsia="Times New Roman" w:hAnsi="Open Sans" w:cs="Times New Roman"/>
          <w:sz w:val="24"/>
          <w:szCs w:val="24"/>
          <w:lang w:val="en-US"/>
        </w:rPr>
        <w:t>.</w:t>
      </w:r>
      <w:r w:rsidR="00166FD6" w:rsidRPr="009929FF">
        <w:rPr>
          <w:rFonts w:ascii="Open Sans" w:eastAsia="Times New Roman" w:hAnsi="Open Sans" w:cs="Times New Roman"/>
          <w:sz w:val="24"/>
          <w:szCs w:val="24"/>
          <w:lang w:val="en-US"/>
        </w:rPr>
        <w:t xml:space="preserve"> In ligh</w:t>
      </w:r>
      <w:r w:rsidR="004834B3" w:rsidRPr="009929FF">
        <w:rPr>
          <w:rFonts w:ascii="Open Sans" w:eastAsia="Times New Roman" w:hAnsi="Open Sans" w:cs="Times New Roman"/>
          <w:sz w:val="24"/>
          <w:szCs w:val="24"/>
          <w:lang w:val="en-US"/>
        </w:rPr>
        <w:t>t of this</w:t>
      </w:r>
      <w:r w:rsidR="00166FD6" w:rsidRPr="009929FF">
        <w:rPr>
          <w:rFonts w:ascii="Open Sans" w:eastAsia="Times New Roman" w:hAnsi="Open Sans" w:cs="Times New Roman"/>
          <w:sz w:val="24"/>
          <w:szCs w:val="24"/>
          <w:lang w:val="en-US"/>
        </w:rPr>
        <w:t xml:space="preserve">, </w:t>
      </w:r>
      <w:r w:rsidRPr="009929FF">
        <w:rPr>
          <w:rFonts w:ascii="Open Sans" w:eastAsia="Times New Roman" w:hAnsi="Open Sans" w:cs="Times New Roman"/>
          <w:sz w:val="24"/>
          <w:szCs w:val="24"/>
          <w:lang w:val="en-US"/>
        </w:rPr>
        <w:t>COSAC declares its general support for increased and stronger involvement of the Western Balkans</w:t>
      </w:r>
      <w:r w:rsidR="004C3237" w:rsidRPr="009929FF">
        <w:rPr>
          <w:rFonts w:ascii="Open Sans" w:eastAsia="Times New Roman" w:hAnsi="Open Sans" w:cs="Times New Roman"/>
          <w:sz w:val="24"/>
          <w:szCs w:val="24"/>
          <w:lang w:val="en-US"/>
        </w:rPr>
        <w:t xml:space="preserve"> Parliaments</w:t>
      </w:r>
      <w:r w:rsidRPr="009929FF">
        <w:rPr>
          <w:rFonts w:ascii="Open Sans" w:eastAsia="Times New Roman" w:hAnsi="Open Sans" w:cs="Times New Roman"/>
          <w:sz w:val="24"/>
          <w:szCs w:val="24"/>
          <w:lang w:val="en-US"/>
        </w:rPr>
        <w:t xml:space="preserve"> in COSAC work and activities</w:t>
      </w:r>
      <w:r w:rsidR="00166FD6" w:rsidRPr="009929FF">
        <w:rPr>
          <w:rFonts w:ascii="Open Sans" w:eastAsia="Times New Roman" w:hAnsi="Open Sans" w:cs="Times New Roman"/>
          <w:sz w:val="24"/>
          <w:szCs w:val="24"/>
          <w:lang w:val="en-US"/>
        </w:rPr>
        <w:t xml:space="preserve"> in the future</w:t>
      </w:r>
      <w:r w:rsidR="004C3237" w:rsidRPr="009929FF">
        <w:rPr>
          <w:rFonts w:ascii="Open Sans" w:eastAsia="Times New Roman" w:hAnsi="Open Sans" w:cs="Times New Roman"/>
          <w:sz w:val="24"/>
          <w:szCs w:val="24"/>
          <w:lang w:val="en-US"/>
        </w:rPr>
        <w:t xml:space="preserve">. </w:t>
      </w:r>
    </w:p>
    <w:p w14:paraId="45F39FFD" w14:textId="77777777" w:rsidR="009C116F" w:rsidRPr="009C116F" w:rsidRDefault="009C116F" w:rsidP="009C116F">
      <w:pPr>
        <w:pStyle w:val="a6"/>
        <w:ind w:left="0" w:right="284"/>
        <w:jc w:val="both"/>
        <w:rPr>
          <w:rFonts w:ascii="Open Sans" w:hAnsi="Open Sans" w:cs="Open Sans"/>
          <w:sz w:val="24"/>
          <w:szCs w:val="24"/>
          <w:lang w:val="en-US"/>
        </w:rPr>
      </w:pPr>
    </w:p>
    <w:p w14:paraId="2E4D8973" w14:textId="77777777" w:rsidR="0030233F" w:rsidRDefault="0083010B" w:rsidP="009929FF">
      <w:pPr>
        <w:pStyle w:val="a6"/>
        <w:numPr>
          <w:ilvl w:val="0"/>
          <w:numId w:val="15"/>
        </w:numPr>
        <w:ind w:left="0" w:right="284" w:hanging="426"/>
        <w:rPr>
          <w:rFonts w:ascii="Open Sans" w:eastAsia="Calibri" w:hAnsi="Open Sans" w:cs="Open Sans"/>
          <w:b/>
          <w:sz w:val="24"/>
          <w:szCs w:val="24"/>
          <w:lang w:val="en-GB"/>
        </w:rPr>
      </w:pPr>
      <w:r w:rsidRPr="0003232D">
        <w:rPr>
          <w:rFonts w:ascii="Open Sans" w:eastAsia="Calibri" w:hAnsi="Open Sans" w:cs="Open Sans"/>
          <w:b/>
          <w:sz w:val="24"/>
          <w:szCs w:val="24"/>
          <w:lang w:val="en-GB"/>
        </w:rPr>
        <w:t>COHESION POLICY AFTER 2020</w:t>
      </w:r>
    </w:p>
    <w:p w14:paraId="6F9EC0C3" w14:textId="77777777" w:rsidR="0030233F" w:rsidRDefault="0030233F" w:rsidP="001F2597">
      <w:pPr>
        <w:pStyle w:val="a6"/>
        <w:ind w:left="0" w:right="284"/>
        <w:rPr>
          <w:rFonts w:ascii="Open Sans" w:eastAsia="Calibri" w:hAnsi="Open Sans" w:cs="Open Sans"/>
          <w:b/>
          <w:sz w:val="24"/>
          <w:szCs w:val="24"/>
          <w:lang w:val="en-GB"/>
        </w:rPr>
      </w:pPr>
    </w:p>
    <w:p w14:paraId="3855FDB0" w14:textId="77777777" w:rsidR="00F207BA" w:rsidRPr="00F207BA" w:rsidRDefault="001F2597" w:rsidP="009929FF">
      <w:pPr>
        <w:pStyle w:val="a6"/>
        <w:numPr>
          <w:ilvl w:val="1"/>
          <w:numId w:val="15"/>
        </w:numPr>
        <w:ind w:left="0" w:right="284" w:hanging="426"/>
        <w:jc w:val="both"/>
        <w:rPr>
          <w:rFonts w:ascii="Open Sans" w:hAnsi="Open Sans" w:cs="Open Sans"/>
          <w:sz w:val="24"/>
          <w:szCs w:val="24"/>
          <w:lang w:val="en-GB"/>
        </w:rPr>
      </w:pPr>
      <w:r w:rsidRPr="001F2597">
        <w:rPr>
          <w:rFonts w:ascii="Open Sans" w:hAnsi="Open Sans" w:cs="Open Sans"/>
          <w:sz w:val="24"/>
          <w:szCs w:val="24"/>
          <w:lang w:val="en-GB"/>
        </w:rPr>
        <w:t>COSAC takes note of the European Commission’s proposal of May 2, 2018: “</w:t>
      </w:r>
      <w:r w:rsidRPr="001F2597">
        <w:rPr>
          <w:rFonts w:ascii="Open Sans" w:hAnsi="Open Sans" w:cs="Open Sans"/>
          <w:bCs/>
          <w:sz w:val="24"/>
          <w:szCs w:val="24"/>
          <w:lang w:val="en-GB"/>
        </w:rPr>
        <w:t>A modern budget for a Union that protects empowers and defends”</w:t>
      </w:r>
      <w:r w:rsidRPr="001F2597">
        <w:rPr>
          <w:rStyle w:val="a8"/>
          <w:rFonts w:ascii="Open Sans" w:hAnsi="Open Sans" w:cs="Open Sans"/>
          <w:sz w:val="24"/>
          <w:szCs w:val="24"/>
          <w:lang w:val="en-GB"/>
        </w:rPr>
        <w:footnoteReference w:id="1"/>
      </w:r>
      <w:r w:rsidRPr="001F2597">
        <w:rPr>
          <w:rFonts w:ascii="Open Sans" w:hAnsi="Open Sans" w:cs="Open Sans"/>
          <w:bCs/>
          <w:sz w:val="24"/>
          <w:szCs w:val="24"/>
          <w:lang w:val="en-GB"/>
        </w:rPr>
        <w:t>, i.e. the Multiannual Financial Framework 2021-2027. Acknowledging the proposal as a good basis for negotiation,</w:t>
      </w:r>
      <w:r w:rsidR="00F207BA">
        <w:rPr>
          <w:rFonts w:ascii="Open Sans" w:hAnsi="Open Sans" w:cs="Open Sans"/>
          <w:bCs/>
          <w:sz w:val="24"/>
          <w:szCs w:val="24"/>
          <w:lang w:val="en-GB"/>
        </w:rPr>
        <w:t xml:space="preserve"> COSAC finds important that the MFF 2021-2027 should be linked to a comprehensive long-term policy strategy for the development of the European Union.  </w:t>
      </w:r>
    </w:p>
    <w:p w14:paraId="55F224B9" w14:textId="77777777" w:rsidR="0030233F" w:rsidRPr="001F2597" w:rsidRDefault="0030233F" w:rsidP="0030233F">
      <w:pPr>
        <w:pStyle w:val="a6"/>
        <w:ind w:left="0" w:right="284"/>
        <w:jc w:val="both"/>
        <w:rPr>
          <w:rFonts w:ascii="Open Sans" w:hAnsi="Open Sans" w:cs="Open Sans"/>
          <w:sz w:val="24"/>
          <w:szCs w:val="24"/>
          <w:lang w:val="en-GB"/>
        </w:rPr>
      </w:pPr>
    </w:p>
    <w:p w14:paraId="4577BA9A" w14:textId="77777777" w:rsidR="001F2597" w:rsidRPr="009E0EF8" w:rsidRDefault="001F2597" w:rsidP="004115C9">
      <w:pPr>
        <w:pStyle w:val="a6"/>
        <w:numPr>
          <w:ilvl w:val="1"/>
          <w:numId w:val="15"/>
        </w:numPr>
        <w:ind w:left="0" w:right="284" w:hanging="426"/>
        <w:jc w:val="both"/>
        <w:rPr>
          <w:rFonts w:ascii="Open Sans" w:hAnsi="Open Sans" w:cs="Open Sans"/>
          <w:sz w:val="24"/>
          <w:szCs w:val="24"/>
          <w:lang w:val="en-GB"/>
        </w:rPr>
      </w:pPr>
      <w:r w:rsidRPr="009E0EF8">
        <w:rPr>
          <w:rFonts w:ascii="Open Sans" w:hAnsi="Open Sans" w:cs="Open Sans"/>
          <w:sz w:val="24"/>
          <w:szCs w:val="24"/>
          <w:lang w:val="en-US"/>
        </w:rPr>
        <w:lastRenderedPageBreak/>
        <w:t>COSAC supports the continuation of the Cohesion policy beyond 2020</w:t>
      </w:r>
      <w:r w:rsidR="0057723B" w:rsidRPr="009E0EF8">
        <w:rPr>
          <w:rFonts w:ascii="Open Sans" w:hAnsi="Open Sans" w:cs="Open Sans"/>
          <w:sz w:val="24"/>
          <w:szCs w:val="24"/>
          <w:lang w:val="en-US"/>
        </w:rPr>
        <w:t xml:space="preserve"> with a commitment to maintain </w:t>
      </w:r>
      <w:r w:rsidR="004115C9" w:rsidRPr="000D6628">
        <w:rPr>
          <w:rFonts w:ascii="Open Sans" w:hAnsi="Open Sans" w:cs="Open Sans"/>
          <w:strike/>
          <w:sz w:val="24"/>
          <w:szCs w:val="24"/>
          <w:lang w:val="en-US"/>
        </w:rPr>
        <w:t>adequate</w:t>
      </w:r>
      <w:r w:rsidR="004115C9" w:rsidRPr="009E0EF8">
        <w:rPr>
          <w:rFonts w:ascii="Open Sans" w:hAnsi="Open Sans" w:cs="Open Sans"/>
          <w:sz w:val="24"/>
          <w:szCs w:val="24"/>
          <w:lang w:val="en-US"/>
        </w:rPr>
        <w:t xml:space="preserve"> </w:t>
      </w:r>
      <w:commentRangeStart w:id="0"/>
      <w:commentRangeStart w:id="1"/>
      <w:r w:rsidR="000D6628">
        <w:rPr>
          <w:rFonts w:ascii="Open Sans" w:hAnsi="Open Sans" w:cs="Open Sans"/>
          <w:sz w:val="24"/>
          <w:szCs w:val="24"/>
          <w:lang w:val="en-US"/>
        </w:rPr>
        <w:t>current</w:t>
      </w:r>
      <w:commentRangeEnd w:id="0"/>
      <w:r w:rsidR="000D6628">
        <w:rPr>
          <w:rStyle w:val="aa"/>
        </w:rPr>
        <w:commentReference w:id="0"/>
      </w:r>
      <w:r w:rsidR="000D6628">
        <w:rPr>
          <w:rFonts w:ascii="Open Sans" w:hAnsi="Open Sans" w:cs="Open Sans"/>
          <w:sz w:val="24"/>
          <w:szCs w:val="24"/>
          <w:lang w:val="en-US"/>
        </w:rPr>
        <w:t xml:space="preserve"> at least </w:t>
      </w:r>
      <w:commentRangeEnd w:id="1"/>
      <w:r w:rsidR="000D6628">
        <w:rPr>
          <w:rStyle w:val="aa"/>
        </w:rPr>
        <w:commentReference w:id="1"/>
      </w:r>
      <w:r w:rsidR="0057723B" w:rsidRPr="009E0EF8">
        <w:rPr>
          <w:rFonts w:ascii="Open Sans" w:hAnsi="Open Sans" w:cs="Open Sans"/>
          <w:sz w:val="24"/>
          <w:szCs w:val="24"/>
          <w:lang w:val="en-US"/>
        </w:rPr>
        <w:t xml:space="preserve">levels of </w:t>
      </w:r>
      <w:r w:rsidR="004115C9" w:rsidRPr="009E0EF8">
        <w:rPr>
          <w:rFonts w:ascii="Open Sans" w:hAnsi="Open Sans" w:cs="Open Sans"/>
          <w:sz w:val="24"/>
          <w:szCs w:val="24"/>
          <w:lang w:val="en-US"/>
        </w:rPr>
        <w:t>funding that will allow for the completion of its goals.</w:t>
      </w:r>
      <w:r w:rsidR="004115C9" w:rsidRPr="009E0EF8">
        <w:rPr>
          <w:rFonts w:ascii="Open Sans" w:hAnsi="Open Sans" w:cs="Open Sans"/>
          <w:sz w:val="24"/>
          <w:szCs w:val="24"/>
          <w:lang w:val="en-GB"/>
        </w:rPr>
        <w:t xml:space="preserve"> </w:t>
      </w:r>
      <w:r w:rsidR="004115C9" w:rsidRPr="009E0EF8">
        <w:rPr>
          <w:rFonts w:ascii="Open Sans" w:hAnsi="Open Sans" w:cs="Open Sans"/>
          <w:sz w:val="24"/>
          <w:szCs w:val="24"/>
          <w:lang w:val="en-US"/>
        </w:rPr>
        <w:t>As the Cohesion policy is</w:t>
      </w:r>
      <w:r w:rsidRPr="009E0EF8">
        <w:rPr>
          <w:rFonts w:ascii="Open Sans" w:hAnsi="Open Sans" w:cs="Open Sans"/>
          <w:sz w:val="24"/>
          <w:szCs w:val="24"/>
          <w:lang w:val="en-US"/>
        </w:rPr>
        <w:t xml:space="preserve"> a key solidarity tool for stimulating the convergence between the Member States and their regions</w:t>
      </w:r>
      <w:r w:rsidR="004115C9" w:rsidRPr="009E0EF8">
        <w:rPr>
          <w:rFonts w:ascii="Open Sans" w:hAnsi="Open Sans" w:cs="Open Sans"/>
          <w:sz w:val="24"/>
          <w:szCs w:val="24"/>
          <w:lang w:val="en-US"/>
        </w:rPr>
        <w:t xml:space="preserve">, COSAC </w:t>
      </w:r>
      <w:r w:rsidRPr="009E0EF8">
        <w:rPr>
          <w:rFonts w:ascii="Open Sans" w:hAnsi="Open Sans" w:cs="Open Sans"/>
          <w:sz w:val="24"/>
          <w:szCs w:val="24"/>
          <w:lang w:val="en-US"/>
        </w:rPr>
        <w:t>underl</w:t>
      </w:r>
      <w:r w:rsidR="004115C9" w:rsidRPr="009E0EF8">
        <w:rPr>
          <w:rFonts w:ascii="Open Sans" w:hAnsi="Open Sans" w:cs="Open Sans"/>
          <w:sz w:val="24"/>
          <w:szCs w:val="24"/>
          <w:lang w:val="en-US"/>
        </w:rPr>
        <w:t>ines</w:t>
      </w:r>
      <w:r w:rsidRPr="009E0EF8">
        <w:rPr>
          <w:rFonts w:ascii="Open Sans" w:hAnsi="Open Sans" w:cs="Open Sans"/>
          <w:sz w:val="24"/>
          <w:szCs w:val="24"/>
          <w:lang w:val="en-US"/>
        </w:rPr>
        <w:t xml:space="preserve"> that, via </w:t>
      </w:r>
      <w:r w:rsidR="004115C9" w:rsidRPr="009E0EF8">
        <w:rPr>
          <w:rFonts w:ascii="Open Sans" w:hAnsi="Open Sans" w:cs="Open Sans"/>
          <w:sz w:val="24"/>
          <w:szCs w:val="24"/>
          <w:lang w:val="en-US"/>
        </w:rPr>
        <w:t>its</w:t>
      </w:r>
      <w:r w:rsidRPr="009E0EF8">
        <w:rPr>
          <w:rFonts w:ascii="Open Sans" w:hAnsi="Open Sans" w:cs="Open Sans"/>
          <w:sz w:val="24"/>
          <w:szCs w:val="24"/>
          <w:lang w:val="en-US"/>
        </w:rPr>
        <w:t xml:space="preserve"> instruments, accelerator and multiplier effect of the investments would be achieved and regional disparities - tackled. Furthermore, the regions and people that are most in need should be prioritized and provided with proportionally higher support.</w:t>
      </w:r>
    </w:p>
    <w:p w14:paraId="1D3E8748" w14:textId="77777777" w:rsidR="001F2597" w:rsidRDefault="001F2597" w:rsidP="001F2597">
      <w:pPr>
        <w:pStyle w:val="a6"/>
        <w:ind w:left="284" w:right="284" w:hanging="568"/>
        <w:jc w:val="both"/>
        <w:rPr>
          <w:rFonts w:ascii="Open Sans" w:hAnsi="Open Sans" w:cs="Open Sans"/>
          <w:sz w:val="24"/>
          <w:szCs w:val="24"/>
          <w:highlight w:val="yellow"/>
          <w:lang w:val="en-US"/>
        </w:rPr>
      </w:pPr>
    </w:p>
    <w:p w14:paraId="02D886C3" w14:textId="77777777" w:rsidR="001F2597" w:rsidRPr="001F2597" w:rsidRDefault="001F2597" w:rsidP="009929FF">
      <w:pPr>
        <w:pStyle w:val="a6"/>
        <w:numPr>
          <w:ilvl w:val="1"/>
          <w:numId w:val="15"/>
        </w:numPr>
        <w:ind w:left="0" w:right="284" w:hanging="426"/>
        <w:jc w:val="both"/>
        <w:rPr>
          <w:rFonts w:ascii="Open Sans" w:hAnsi="Open Sans" w:cs="Open Sans"/>
          <w:sz w:val="24"/>
          <w:szCs w:val="24"/>
          <w:lang w:val="en-US"/>
        </w:rPr>
      </w:pPr>
      <w:r w:rsidRPr="001F2597">
        <w:rPr>
          <w:rFonts w:ascii="Open Sans" w:hAnsi="Open Sans" w:cs="Open Sans"/>
          <w:sz w:val="24"/>
          <w:szCs w:val="24"/>
          <w:lang w:val="en-US"/>
        </w:rPr>
        <w:t>COSAC points out that the real investments in growth, employment and balanced territorial development, must stay in the focus of the Cohesion policy post 2020, remaining mostly in the form of grants. Its financial resource is not to be allocated for the accomplishment of other policies' and instruments’ goals – some of which fall out</w:t>
      </w:r>
      <w:r w:rsidR="004834B3">
        <w:rPr>
          <w:rFonts w:ascii="Open Sans" w:hAnsi="Open Sans" w:cs="Open Sans"/>
          <w:sz w:val="24"/>
          <w:szCs w:val="24"/>
          <w:lang w:val="en-US"/>
        </w:rPr>
        <w:t>side</w:t>
      </w:r>
      <w:r w:rsidRPr="001F2597">
        <w:rPr>
          <w:rFonts w:ascii="Open Sans" w:hAnsi="Open Sans" w:cs="Open Sans"/>
          <w:sz w:val="24"/>
          <w:szCs w:val="24"/>
          <w:lang w:val="en-US"/>
        </w:rPr>
        <w:t xml:space="preserve"> of the scope of the Cohesion priorities.</w:t>
      </w:r>
    </w:p>
    <w:p w14:paraId="47B6A3C2" w14:textId="77777777" w:rsidR="001F2597" w:rsidRPr="001F2597" w:rsidRDefault="001F2597" w:rsidP="001F2597">
      <w:pPr>
        <w:pStyle w:val="a6"/>
        <w:ind w:left="284" w:right="284" w:hanging="568"/>
        <w:jc w:val="both"/>
        <w:rPr>
          <w:rFonts w:ascii="Open Sans" w:hAnsi="Open Sans" w:cs="Open Sans"/>
          <w:sz w:val="24"/>
          <w:szCs w:val="24"/>
          <w:lang w:val="en-US"/>
        </w:rPr>
      </w:pPr>
    </w:p>
    <w:p w14:paraId="44B516CE" w14:textId="77777777" w:rsidR="001F2597" w:rsidRPr="001F2597" w:rsidRDefault="00A320D9" w:rsidP="009929FF">
      <w:pPr>
        <w:pStyle w:val="a6"/>
        <w:numPr>
          <w:ilvl w:val="1"/>
          <w:numId w:val="15"/>
        </w:numPr>
        <w:ind w:left="0" w:right="284" w:hanging="426"/>
        <w:jc w:val="both"/>
        <w:rPr>
          <w:rFonts w:ascii="Open Sans" w:hAnsi="Open Sans" w:cs="Open Sans"/>
          <w:sz w:val="24"/>
          <w:szCs w:val="24"/>
          <w:lang w:val="en-US"/>
        </w:rPr>
      </w:pPr>
      <w:r>
        <w:rPr>
          <w:rFonts w:ascii="Open Sans" w:hAnsi="Open Sans" w:cs="Open Sans"/>
          <w:sz w:val="24"/>
          <w:szCs w:val="24"/>
          <w:lang w:val="en-US"/>
        </w:rPr>
        <w:t>COSAC</w:t>
      </w:r>
      <w:r w:rsidR="00362193">
        <w:rPr>
          <w:rFonts w:ascii="Open Sans" w:hAnsi="Open Sans" w:cs="Open Sans"/>
          <w:sz w:val="24"/>
          <w:szCs w:val="24"/>
          <w:lang w:val="en-US"/>
        </w:rPr>
        <w:t xml:space="preserve"> </w:t>
      </w:r>
      <w:r w:rsidR="00362193" w:rsidRPr="00105191">
        <w:rPr>
          <w:rFonts w:ascii="Open Sans" w:hAnsi="Open Sans" w:cs="Open Sans"/>
          <w:sz w:val="24"/>
          <w:szCs w:val="24"/>
          <w:lang w:val="en-US"/>
        </w:rPr>
        <w:t>appeals</w:t>
      </w:r>
      <w:r w:rsidR="001F2597" w:rsidRPr="00105191">
        <w:rPr>
          <w:rFonts w:ascii="Open Sans" w:hAnsi="Open Sans" w:cs="Open Sans"/>
          <w:sz w:val="24"/>
          <w:szCs w:val="24"/>
          <w:lang w:val="en-US"/>
        </w:rPr>
        <w:t xml:space="preserve"> for</w:t>
      </w:r>
      <w:r w:rsidR="001F2597" w:rsidRPr="001F2597">
        <w:rPr>
          <w:rFonts w:ascii="Open Sans" w:hAnsi="Open Sans" w:cs="Open Sans"/>
          <w:sz w:val="24"/>
          <w:szCs w:val="24"/>
          <w:lang w:val="en-US"/>
        </w:rPr>
        <w:t xml:space="preserve"> a result-oriented, effective and efficient Cohesion Policy in th</w:t>
      </w:r>
      <w:r>
        <w:rPr>
          <w:rFonts w:ascii="Open Sans" w:hAnsi="Open Sans" w:cs="Open Sans"/>
          <w:sz w:val="24"/>
          <w:szCs w:val="24"/>
          <w:lang w:val="en-US"/>
        </w:rPr>
        <w:t xml:space="preserve">e Programming Period 2021-2027, transparently </w:t>
      </w:r>
      <w:r w:rsidR="001F2597" w:rsidRPr="001F2597">
        <w:rPr>
          <w:rFonts w:ascii="Open Sans" w:hAnsi="Open Sans" w:cs="Open Sans"/>
          <w:sz w:val="24"/>
          <w:szCs w:val="24"/>
          <w:lang w:val="en-US"/>
        </w:rPr>
        <w:t>assess</w:t>
      </w:r>
      <w:r>
        <w:rPr>
          <w:rFonts w:ascii="Open Sans" w:hAnsi="Open Sans" w:cs="Open Sans"/>
          <w:sz w:val="24"/>
          <w:szCs w:val="24"/>
          <w:lang w:val="en-US"/>
        </w:rPr>
        <w:t>ing</w:t>
      </w:r>
      <w:r w:rsidR="001F2597" w:rsidRPr="001F2597">
        <w:rPr>
          <w:rFonts w:ascii="Open Sans" w:hAnsi="Open Sans" w:cs="Open Sans"/>
          <w:sz w:val="24"/>
          <w:szCs w:val="24"/>
          <w:lang w:val="en-US"/>
        </w:rPr>
        <w:t xml:space="preserve"> the concrete impact of the projects at local and regional level with regard to the European added value, rather than simply monitor</w:t>
      </w:r>
      <w:r>
        <w:rPr>
          <w:rFonts w:ascii="Open Sans" w:hAnsi="Open Sans" w:cs="Open Sans"/>
          <w:sz w:val="24"/>
          <w:szCs w:val="24"/>
          <w:lang w:val="en-US"/>
        </w:rPr>
        <w:t>ing</w:t>
      </w:r>
      <w:r w:rsidR="001F2597" w:rsidRPr="001F2597">
        <w:rPr>
          <w:rFonts w:ascii="Open Sans" w:hAnsi="Open Sans" w:cs="Open Sans"/>
          <w:sz w:val="24"/>
          <w:szCs w:val="24"/>
          <w:lang w:val="en-US"/>
        </w:rPr>
        <w:t xml:space="preserve"> the costs and productivity.</w:t>
      </w:r>
    </w:p>
    <w:p w14:paraId="7238B8B2" w14:textId="77777777" w:rsidR="001F2597" w:rsidRPr="001F2597" w:rsidRDefault="001F2597" w:rsidP="001F2597">
      <w:pPr>
        <w:pStyle w:val="a6"/>
        <w:ind w:left="0" w:right="284"/>
        <w:jc w:val="both"/>
        <w:rPr>
          <w:rFonts w:ascii="Open Sans" w:hAnsi="Open Sans" w:cs="Open Sans"/>
          <w:sz w:val="24"/>
          <w:szCs w:val="24"/>
          <w:lang w:val="en-US"/>
        </w:rPr>
      </w:pPr>
    </w:p>
    <w:p w14:paraId="05127908" w14:textId="77777777" w:rsidR="0057723B" w:rsidRDefault="001F2597" w:rsidP="009929FF">
      <w:pPr>
        <w:pStyle w:val="a6"/>
        <w:numPr>
          <w:ilvl w:val="1"/>
          <w:numId w:val="15"/>
        </w:numPr>
        <w:ind w:left="0" w:right="284" w:hanging="426"/>
        <w:jc w:val="both"/>
        <w:rPr>
          <w:rFonts w:ascii="Open Sans" w:hAnsi="Open Sans" w:cs="Open Sans"/>
          <w:sz w:val="24"/>
          <w:szCs w:val="24"/>
          <w:lang w:val="en-US"/>
        </w:rPr>
      </w:pPr>
      <w:r w:rsidRPr="001F2597">
        <w:rPr>
          <w:rFonts w:ascii="Open Sans" w:hAnsi="Open Sans" w:cs="Open Sans"/>
          <w:sz w:val="24"/>
          <w:szCs w:val="24"/>
          <w:lang w:val="en-US"/>
        </w:rPr>
        <w:t>COSAC calls for an improvement of the main deficiencies in the Cohesion policy implementation, i.e. the long and complex administrative procedures, the lack of flexibility when managing the projects and the burdensome co-financing</w:t>
      </w:r>
      <w:r w:rsidR="00A320D9">
        <w:rPr>
          <w:rFonts w:ascii="Open Sans" w:hAnsi="Open Sans" w:cs="Open Sans"/>
          <w:sz w:val="24"/>
          <w:szCs w:val="24"/>
          <w:lang w:val="en-US"/>
        </w:rPr>
        <w:t>.</w:t>
      </w:r>
      <w:r w:rsidRPr="001F2597">
        <w:rPr>
          <w:rFonts w:ascii="Open Sans" w:hAnsi="Open Sans" w:cs="Open Sans"/>
          <w:sz w:val="24"/>
          <w:szCs w:val="24"/>
          <w:lang w:val="en-US"/>
        </w:rPr>
        <w:t xml:space="preserve"> </w:t>
      </w:r>
    </w:p>
    <w:p w14:paraId="30B9DED4" w14:textId="77777777" w:rsidR="001F2597" w:rsidRPr="00CC5F40" w:rsidRDefault="001F2597" w:rsidP="0057723B">
      <w:pPr>
        <w:tabs>
          <w:tab w:val="left" w:pos="0"/>
        </w:tabs>
        <w:ind w:right="284"/>
        <w:jc w:val="both"/>
        <w:rPr>
          <w:rFonts w:ascii="Open Sans" w:hAnsi="Open Sans" w:cs="Open Sans"/>
          <w:b/>
          <w:sz w:val="24"/>
          <w:szCs w:val="24"/>
          <w:lang w:val="en-US"/>
        </w:rPr>
      </w:pPr>
      <w:r w:rsidRPr="00CC5F40">
        <w:rPr>
          <w:rFonts w:ascii="Open Sans" w:hAnsi="Open Sans" w:cs="Open Sans"/>
          <w:b/>
          <w:sz w:val="24"/>
          <w:szCs w:val="24"/>
          <w:lang w:val="en-US"/>
        </w:rPr>
        <w:t xml:space="preserve">ЕU </w:t>
      </w:r>
      <w:r w:rsidR="0057723B" w:rsidRPr="00CC5F40">
        <w:rPr>
          <w:rFonts w:ascii="Open Sans" w:hAnsi="Open Sans" w:cs="Open Sans"/>
          <w:b/>
          <w:sz w:val="24"/>
          <w:szCs w:val="24"/>
          <w:lang w:val="en-US"/>
        </w:rPr>
        <w:t>Macr</w:t>
      </w:r>
      <w:r w:rsidR="00CC5F40">
        <w:rPr>
          <w:rFonts w:ascii="Open Sans" w:hAnsi="Open Sans" w:cs="Open Sans"/>
          <w:b/>
          <w:sz w:val="24"/>
          <w:szCs w:val="24"/>
          <w:lang w:val="en-US"/>
        </w:rPr>
        <w:t>o-regional strategies</w:t>
      </w:r>
    </w:p>
    <w:p w14:paraId="65A64A53" w14:textId="77777777" w:rsidR="001F2597" w:rsidRPr="001F2597" w:rsidRDefault="001F2597" w:rsidP="009929FF">
      <w:pPr>
        <w:pStyle w:val="a6"/>
        <w:numPr>
          <w:ilvl w:val="1"/>
          <w:numId w:val="15"/>
        </w:numPr>
        <w:ind w:left="0" w:right="284" w:hanging="426"/>
        <w:jc w:val="both"/>
        <w:rPr>
          <w:rFonts w:ascii="Open Sans" w:hAnsi="Open Sans" w:cs="Open Sans"/>
          <w:sz w:val="24"/>
          <w:szCs w:val="24"/>
          <w:lang w:val="en-US"/>
        </w:rPr>
      </w:pPr>
      <w:r w:rsidRPr="001F2597">
        <w:rPr>
          <w:rFonts w:ascii="Open Sans" w:hAnsi="Open Sans" w:cs="Open Sans"/>
          <w:sz w:val="24"/>
          <w:szCs w:val="24"/>
          <w:lang w:val="en-US"/>
        </w:rPr>
        <w:t>Taking into account the role of the EU macro-regions in achieving sustainable develop</w:t>
      </w:r>
      <w:r w:rsidR="00287240">
        <w:rPr>
          <w:rFonts w:ascii="Open Sans" w:hAnsi="Open Sans" w:cs="Open Sans"/>
          <w:sz w:val="24"/>
          <w:szCs w:val="24"/>
          <w:lang w:val="en-US"/>
        </w:rPr>
        <w:t>ment, security and prosperity</w:t>
      </w:r>
      <w:r w:rsidRPr="001F2597">
        <w:rPr>
          <w:rFonts w:ascii="Open Sans" w:hAnsi="Open Sans" w:cs="Open Sans"/>
          <w:sz w:val="24"/>
          <w:szCs w:val="24"/>
          <w:lang w:val="en-US"/>
        </w:rPr>
        <w:t xml:space="preserve">, COSAC underlines that </w:t>
      </w:r>
      <w:r w:rsidR="00287240">
        <w:rPr>
          <w:rFonts w:ascii="Open Sans" w:hAnsi="Open Sans" w:cs="Open Sans"/>
          <w:sz w:val="24"/>
          <w:szCs w:val="24"/>
          <w:lang w:val="en-US"/>
        </w:rPr>
        <w:t xml:space="preserve">EU </w:t>
      </w:r>
      <w:r w:rsidR="00287240" w:rsidRPr="001F2597">
        <w:rPr>
          <w:rFonts w:ascii="Open Sans" w:hAnsi="Open Sans" w:cs="Open Sans"/>
          <w:sz w:val="24"/>
          <w:szCs w:val="24"/>
          <w:lang w:val="en-US"/>
        </w:rPr>
        <w:t xml:space="preserve">macro-regional strategies </w:t>
      </w:r>
      <w:r w:rsidR="00287240">
        <w:rPr>
          <w:rFonts w:ascii="Open Sans" w:hAnsi="Open Sans" w:cs="Open Sans"/>
          <w:sz w:val="24"/>
          <w:szCs w:val="24"/>
          <w:lang w:val="en-US"/>
        </w:rPr>
        <w:t xml:space="preserve">are an important </w:t>
      </w:r>
      <w:r w:rsidRPr="001F2597">
        <w:rPr>
          <w:rFonts w:ascii="Open Sans" w:hAnsi="Open Sans" w:cs="Open Sans"/>
          <w:sz w:val="24"/>
          <w:szCs w:val="24"/>
          <w:lang w:val="en-US"/>
        </w:rPr>
        <w:t>platform for cooperation with invalua</w:t>
      </w:r>
      <w:r w:rsidR="00287240">
        <w:rPr>
          <w:rFonts w:ascii="Open Sans" w:hAnsi="Open Sans" w:cs="Open Sans"/>
          <w:sz w:val="24"/>
          <w:szCs w:val="24"/>
          <w:lang w:val="en-US"/>
        </w:rPr>
        <w:t>ble and innovative contribution</w:t>
      </w:r>
      <w:r w:rsidR="00CC5F40">
        <w:rPr>
          <w:rFonts w:ascii="Open Sans" w:hAnsi="Open Sans" w:cs="Open Sans"/>
          <w:sz w:val="24"/>
          <w:szCs w:val="24"/>
          <w:lang w:val="en-US"/>
        </w:rPr>
        <w:t xml:space="preserve"> and should be further developed</w:t>
      </w:r>
      <w:r w:rsidRPr="001F2597">
        <w:rPr>
          <w:rFonts w:ascii="Open Sans" w:hAnsi="Open Sans" w:cs="Open Sans"/>
          <w:sz w:val="24"/>
          <w:szCs w:val="24"/>
          <w:lang w:val="en-US"/>
        </w:rPr>
        <w:t>.</w:t>
      </w:r>
    </w:p>
    <w:p w14:paraId="377E2DCA" w14:textId="77777777" w:rsidR="001F2597" w:rsidRPr="001F2597" w:rsidRDefault="001F2597" w:rsidP="001F2597">
      <w:pPr>
        <w:pStyle w:val="a6"/>
        <w:ind w:left="0" w:right="284"/>
        <w:jc w:val="both"/>
        <w:rPr>
          <w:rFonts w:ascii="Open Sans" w:hAnsi="Open Sans" w:cs="Open Sans"/>
          <w:sz w:val="24"/>
          <w:szCs w:val="24"/>
          <w:lang w:val="en-US"/>
        </w:rPr>
      </w:pPr>
    </w:p>
    <w:p w14:paraId="7EAF7DD7" w14:textId="77777777" w:rsidR="001F2597" w:rsidRDefault="001F2597" w:rsidP="009929FF">
      <w:pPr>
        <w:pStyle w:val="a6"/>
        <w:numPr>
          <w:ilvl w:val="1"/>
          <w:numId w:val="15"/>
        </w:numPr>
        <w:ind w:left="0" w:right="284" w:hanging="426"/>
        <w:jc w:val="both"/>
        <w:rPr>
          <w:rFonts w:ascii="Open Sans" w:hAnsi="Open Sans" w:cs="Open Sans"/>
          <w:sz w:val="24"/>
          <w:szCs w:val="24"/>
          <w:lang w:val="en-US"/>
        </w:rPr>
      </w:pPr>
      <w:r w:rsidRPr="001F2597">
        <w:rPr>
          <w:rFonts w:ascii="Open Sans" w:hAnsi="Open Sans" w:cs="Open Sans"/>
          <w:sz w:val="24"/>
          <w:szCs w:val="24"/>
          <w:lang w:val="en-US"/>
        </w:rPr>
        <w:t xml:space="preserve">COSAC </w:t>
      </w:r>
      <w:r w:rsidR="00287240">
        <w:rPr>
          <w:rFonts w:ascii="Open Sans" w:hAnsi="Open Sans" w:cs="Open Sans"/>
          <w:sz w:val="24"/>
          <w:szCs w:val="24"/>
          <w:lang w:val="en-US"/>
        </w:rPr>
        <w:t>recognizes the need to improve t</w:t>
      </w:r>
      <w:r w:rsidRPr="001F2597">
        <w:rPr>
          <w:rFonts w:ascii="Open Sans" w:hAnsi="Open Sans" w:cs="Open Sans"/>
          <w:sz w:val="24"/>
          <w:szCs w:val="24"/>
          <w:lang w:val="en-US"/>
        </w:rPr>
        <w:t>he interrelation between the EU</w:t>
      </w:r>
      <w:r w:rsidR="00287240">
        <w:rPr>
          <w:rFonts w:ascii="Open Sans" w:hAnsi="Open Sans" w:cs="Open Sans"/>
          <w:sz w:val="24"/>
          <w:szCs w:val="24"/>
          <w:lang w:val="en-US"/>
        </w:rPr>
        <w:t xml:space="preserve"> Strategy for the Danube Region a</w:t>
      </w:r>
      <w:r w:rsidRPr="001F2597">
        <w:rPr>
          <w:rFonts w:ascii="Open Sans" w:hAnsi="Open Sans" w:cs="Open Sans"/>
          <w:sz w:val="24"/>
          <w:szCs w:val="24"/>
          <w:lang w:val="en-US"/>
        </w:rPr>
        <w:t xml:space="preserve">nd the cross-border cooperation in the Black Sea Region to overcome </w:t>
      </w:r>
      <w:r w:rsidR="00CC5F40">
        <w:rPr>
          <w:rFonts w:ascii="Open Sans" w:hAnsi="Open Sans" w:cs="Open Sans"/>
          <w:sz w:val="24"/>
          <w:szCs w:val="24"/>
          <w:lang w:val="en-US"/>
        </w:rPr>
        <w:t xml:space="preserve">common </w:t>
      </w:r>
      <w:r w:rsidRPr="001F2597">
        <w:rPr>
          <w:rFonts w:ascii="Open Sans" w:hAnsi="Open Sans" w:cs="Open Sans"/>
          <w:sz w:val="24"/>
          <w:szCs w:val="24"/>
          <w:lang w:val="en-US"/>
        </w:rPr>
        <w:t>challenges</w:t>
      </w:r>
      <w:r w:rsidR="00CC5F40">
        <w:rPr>
          <w:rFonts w:ascii="Open Sans" w:hAnsi="Open Sans" w:cs="Open Sans"/>
          <w:sz w:val="24"/>
          <w:szCs w:val="24"/>
          <w:lang w:val="en-US"/>
        </w:rPr>
        <w:t xml:space="preserve"> in the wider region</w:t>
      </w:r>
      <w:r w:rsidRPr="001F2597">
        <w:rPr>
          <w:rFonts w:ascii="Open Sans" w:hAnsi="Open Sans" w:cs="Open Sans"/>
          <w:sz w:val="24"/>
          <w:szCs w:val="24"/>
          <w:lang w:val="en-US"/>
        </w:rPr>
        <w:t>.</w:t>
      </w:r>
    </w:p>
    <w:p w14:paraId="2D7B8AAE" w14:textId="77777777" w:rsidR="00073441" w:rsidRPr="00073441" w:rsidRDefault="00073441" w:rsidP="00073441">
      <w:pPr>
        <w:pStyle w:val="a6"/>
        <w:rPr>
          <w:rFonts w:ascii="Open Sans" w:hAnsi="Open Sans" w:cs="Open Sans"/>
          <w:sz w:val="24"/>
          <w:szCs w:val="24"/>
          <w:lang w:val="en-US"/>
        </w:rPr>
      </w:pPr>
    </w:p>
    <w:p w14:paraId="77840C80" w14:textId="77777777" w:rsidR="00073441" w:rsidRPr="009E0EF8" w:rsidRDefault="00073441" w:rsidP="00073441">
      <w:pPr>
        <w:pStyle w:val="a6"/>
        <w:numPr>
          <w:ilvl w:val="1"/>
          <w:numId w:val="15"/>
        </w:numPr>
        <w:ind w:left="0" w:right="284" w:hanging="426"/>
        <w:jc w:val="both"/>
        <w:rPr>
          <w:rFonts w:ascii="Open Sans" w:hAnsi="Open Sans" w:cs="Open Sans"/>
          <w:sz w:val="24"/>
          <w:szCs w:val="24"/>
          <w:lang w:val="en-US"/>
        </w:rPr>
      </w:pPr>
      <w:r w:rsidRPr="009E0EF8">
        <w:rPr>
          <w:rFonts w:ascii="Open Sans" w:hAnsi="Open Sans" w:cs="Open Sans"/>
          <w:sz w:val="24"/>
          <w:szCs w:val="24"/>
          <w:lang w:val="en-US"/>
        </w:rPr>
        <w:t xml:space="preserve">COSAC underlines the importance of interconnectivity within the EU. Therefore, COSAC </w:t>
      </w:r>
      <w:proofErr w:type="spellStart"/>
      <w:r w:rsidRPr="009E0EF8">
        <w:rPr>
          <w:rFonts w:ascii="Open Sans" w:hAnsi="Open Sans" w:cs="Open Sans"/>
          <w:sz w:val="24"/>
          <w:szCs w:val="24"/>
          <w:lang w:val="en-US"/>
        </w:rPr>
        <w:t>emphasises</w:t>
      </w:r>
      <w:proofErr w:type="spellEnd"/>
      <w:r w:rsidRPr="009E0EF8">
        <w:rPr>
          <w:rFonts w:ascii="Open Sans" w:hAnsi="Open Sans" w:cs="Open Sans"/>
          <w:sz w:val="24"/>
          <w:szCs w:val="24"/>
          <w:lang w:val="en-US"/>
        </w:rPr>
        <w:t xml:space="preserve"> that firm commitment for successful and timely implementation of any trans-border projects to that end are vitally important for the EU and its citizens. A special consideration should be paid to the development of transport infrastructure and the expansion of the EU transport network; in this regard, macro regional strategies provide a good basis for the streamlining of multilateral efforts.</w:t>
      </w:r>
    </w:p>
    <w:p w14:paraId="1FE07BCB" w14:textId="77777777" w:rsidR="009C116F" w:rsidRPr="001F2597" w:rsidRDefault="009C116F" w:rsidP="009C116F">
      <w:pPr>
        <w:pStyle w:val="a6"/>
        <w:ind w:left="0" w:right="284"/>
        <w:jc w:val="both"/>
        <w:rPr>
          <w:rFonts w:ascii="Open Sans" w:hAnsi="Open Sans" w:cs="Open Sans"/>
          <w:sz w:val="24"/>
          <w:szCs w:val="24"/>
        </w:rPr>
      </w:pPr>
    </w:p>
    <w:p w14:paraId="01F9E6CD" w14:textId="77777777" w:rsidR="0003232D" w:rsidRDefault="0083010B" w:rsidP="009929FF">
      <w:pPr>
        <w:pStyle w:val="a6"/>
        <w:numPr>
          <w:ilvl w:val="0"/>
          <w:numId w:val="15"/>
        </w:numPr>
        <w:spacing w:after="0" w:line="256" w:lineRule="auto"/>
        <w:ind w:left="0" w:right="284" w:hanging="426"/>
        <w:jc w:val="both"/>
        <w:rPr>
          <w:rFonts w:ascii="Open Sans" w:eastAsia="Calibri" w:hAnsi="Open Sans" w:cs="Open Sans"/>
          <w:b/>
          <w:sz w:val="24"/>
          <w:szCs w:val="24"/>
          <w:lang w:val="en-GB"/>
        </w:rPr>
      </w:pPr>
      <w:r w:rsidRPr="00786FAC">
        <w:rPr>
          <w:rFonts w:ascii="Open Sans" w:eastAsia="Calibri" w:hAnsi="Open Sans" w:cs="Open Sans"/>
          <w:b/>
          <w:sz w:val="24"/>
          <w:szCs w:val="24"/>
          <w:lang w:val="en-GB"/>
        </w:rPr>
        <w:t>EUROPEAN PILLAR OF SOCIAL RIGHTS</w:t>
      </w:r>
    </w:p>
    <w:p w14:paraId="6B1807F5" w14:textId="77777777" w:rsidR="00A72977" w:rsidRDefault="00A72977" w:rsidP="00411D81">
      <w:pPr>
        <w:pStyle w:val="a6"/>
        <w:spacing w:after="0" w:line="256" w:lineRule="auto"/>
        <w:ind w:left="0" w:right="284" w:hanging="426"/>
        <w:jc w:val="both"/>
        <w:rPr>
          <w:rFonts w:ascii="Open Sans" w:eastAsia="Calibri" w:hAnsi="Open Sans" w:cs="Open Sans"/>
          <w:b/>
          <w:sz w:val="24"/>
          <w:szCs w:val="24"/>
          <w:lang w:val="en-GB"/>
        </w:rPr>
      </w:pPr>
    </w:p>
    <w:p w14:paraId="13F638C5" w14:textId="77777777" w:rsidR="00411D81" w:rsidRPr="001F2597" w:rsidRDefault="00411D81" w:rsidP="009929FF">
      <w:pPr>
        <w:pStyle w:val="a6"/>
        <w:numPr>
          <w:ilvl w:val="1"/>
          <w:numId w:val="15"/>
        </w:numPr>
        <w:ind w:left="0" w:right="284" w:hanging="426"/>
        <w:jc w:val="both"/>
        <w:rPr>
          <w:rFonts w:ascii="Open Sans" w:hAnsi="Open Sans" w:cs="Open Sans"/>
          <w:sz w:val="24"/>
          <w:szCs w:val="24"/>
          <w:lang w:val="en-US"/>
        </w:rPr>
      </w:pPr>
      <w:r w:rsidRPr="001F2597">
        <w:rPr>
          <w:rFonts w:ascii="Open Sans" w:hAnsi="Open Sans" w:cs="Open Sans"/>
          <w:sz w:val="24"/>
          <w:szCs w:val="24"/>
          <w:lang w:val="en-US"/>
        </w:rPr>
        <w:t>COSAC underlines that a positive reinforcement of the social dimension of the EU is particularly important in order to uphold the Treaty social objectives and ensure that European citizens identify with, and see the benefits of, the European project.</w:t>
      </w:r>
    </w:p>
    <w:p w14:paraId="67ECA439" w14:textId="77777777" w:rsidR="001F2597" w:rsidRDefault="001F2597" w:rsidP="001F2597">
      <w:pPr>
        <w:pStyle w:val="a6"/>
        <w:spacing w:after="0" w:line="240" w:lineRule="auto"/>
        <w:ind w:left="284" w:right="284"/>
        <w:jc w:val="both"/>
        <w:rPr>
          <w:rFonts w:ascii="Open Sans" w:eastAsia="Times New Roman" w:hAnsi="Open Sans" w:cs="Times New Roman"/>
          <w:sz w:val="24"/>
          <w:szCs w:val="24"/>
          <w:lang w:val="en-US"/>
        </w:rPr>
      </w:pPr>
    </w:p>
    <w:p w14:paraId="7C65038F" w14:textId="77777777" w:rsidR="001F2597" w:rsidRPr="001F2597" w:rsidRDefault="00411D81" w:rsidP="009929FF">
      <w:pPr>
        <w:pStyle w:val="a6"/>
        <w:numPr>
          <w:ilvl w:val="1"/>
          <w:numId w:val="15"/>
        </w:numPr>
        <w:ind w:left="0" w:right="284" w:hanging="426"/>
        <w:jc w:val="both"/>
        <w:rPr>
          <w:rFonts w:ascii="Open Sans" w:hAnsi="Open Sans" w:cs="Open Sans"/>
          <w:sz w:val="24"/>
          <w:szCs w:val="24"/>
          <w:lang w:val="en-US"/>
        </w:rPr>
      </w:pPr>
      <w:r w:rsidRPr="001F2597">
        <w:rPr>
          <w:rFonts w:ascii="Open Sans" w:hAnsi="Open Sans" w:cs="Open Sans"/>
          <w:sz w:val="24"/>
          <w:szCs w:val="24"/>
          <w:lang w:val="en-US"/>
        </w:rPr>
        <w:t>COSAC supports the initiatives for a strong and solid European Pillar of Social Rights that is not limited to good intentions or declarations, but with actual impact that enforces the existing social standar</w:t>
      </w:r>
      <w:r w:rsidR="00BF3429" w:rsidRPr="001F2597">
        <w:rPr>
          <w:rFonts w:ascii="Open Sans" w:hAnsi="Open Sans" w:cs="Open Sans"/>
          <w:sz w:val="24"/>
          <w:szCs w:val="24"/>
          <w:lang w:val="en-US"/>
        </w:rPr>
        <w:t>ds and principles and delivers on its objectives</w:t>
      </w:r>
      <w:r w:rsidRPr="001F2597">
        <w:rPr>
          <w:rFonts w:ascii="Open Sans" w:hAnsi="Open Sans" w:cs="Open Sans"/>
          <w:sz w:val="24"/>
          <w:szCs w:val="24"/>
          <w:lang w:val="en-US"/>
        </w:rPr>
        <w:t xml:space="preserve"> through specific tools, including further legislative actions, efficient policy-making mechanisms and financial instruments</w:t>
      </w:r>
      <w:r w:rsidR="00FB165A">
        <w:rPr>
          <w:rFonts w:ascii="Open Sans" w:hAnsi="Open Sans" w:cs="Open Sans"/>
          <w:sz w:val="24"/>
          <w:szCs w:val="24"/>
          <w:lang w:val="en-US"/>
        </w:rPr>
        <w:t>, subject to the next EU Budget negotiations.</w:t>
      </w:r>
      <w:r w:rsidRPr="001F2597">
        <w:rPr>
          <w:rFonts w:ascii="Open Sans" w:hAnsi="Open Sans" w:cs="Open Sans"/>
          <w:sz w:val="24"/>
          <w:szCs w:val="24"/>
          <w:lang w:val="en-US"/>
        </w:rPr>
        <w:t xml:space="preserve"> </w:t>
      </w:r>
    </w:p>
    <w:p w14:paraId="4A467185" w14:textId="77777777" w:rsidR="001F2597" w:rsidRPr="001F2597" w:rsidRDefault="001F2597" w:rsidP="001F2597">
      <w:pPr>
        <w:pStyle w:val="a6"/>
        <w:ind w:left="0" w:right="284"/>
        <w:jc w:val="both"/>
        <w:rPr>
          <w:rFonts w:ascii="Open Sans" w:hAnsi="Open Sans" w:cs="Open Sans"/>
          <w:sz w:val="24"/>
          <w:szCs w:val="24"/>
          <w:lang w:val="en-US"/>
        </w:rPr>
      </w:pPr>
    </w:p>
    <w:p w14:paraId="0B7DDCCD" w14:textId="77777777" w:rsidR="00CD5D7E" w:rsidRPr="001F2597" w:rsidRDefault="00411D81" w:rsidP="009929FF">
      <w:pPr>
        <w:pStyle w:val="a6"/>
        <w:numPr>
          <w:ilvl w:val="1"/>
          <w:numId w:val="15"/>
        </w:numPr>
        <w:ind w:left="0" w:right="284" w:hanging="426"/>
        <w:jc w:val="both"/>
        <w:rPr>
          <w:rFonts w:ascii="Open Sans" w:hAnsi="Open Sans" w:cs="Open Sans"/>
          <w:sz w:val="24"/>
          <w:szCs w:val="24"/>
          <w:lang w:val="en-US"/>
        </w:rPr>
      </w:pPr>
      <w:r w:rsidRPr="001F2597">
        <w:rPr>
          <w:rFonts w:ascii="Open Sans" w:hAnsi="Open Sans" w:cs="Open Sans"/>
          <w:sz w:val="24"/>
          <w:szCs w:val="24"/>
          <w:lang w:val="en-US"/>
        </w:rPr>
        <w:t xml:space="preserve">COSAC </w:t>
      </w:r>
      <w:proofErr w:type="spellStart"/>
      <w:r w:rsidRPr="001F2597">
        <w:rPr>
          <w:rFonts w:ascii="Open Sans" w:hAnsi="Open Sans" w:cs="Open Sans"/>
          <w:sz w:val="24"/>
          <w:szCs w:val="24"/>
          <w:lang w:val="en-US"/>
        </w:rPr>
        <w:t>emphasises</w:t>
      </w:r>
      <w:proofErr w:type="spellEnd"/>
      <w:r w:rsidRPr="001F2597">
        <w:rPr>
          <w:rFonts w:ascii="Open Sans" w:hAnsi="Open Sans" w:cs="Open Sans"/>
          <w:sz w:val="24"/>
          <w:szCs w:val="24"/>
          <w:lang w:val="en-US"/>
        </w:rPr>
        <w:t xml:space="preserve"> that against the backdrop of an ageing and declining population, the globalization, technical progress and </w:t>
      </w:r>
      <w:proofErr w:type="spellStart"/>
      <w:r w:rsidRPr="001F2597">
        <w:rPr>
          <w:rFonts w:ascii="Open Sans" w:hAnsi="Open Sans" w:cs="Open Sans"/>
          <w:sz w:val="24"/>
          <w:szCs w:val="24"/>
          <w:lang w:val="en-US"/>
        </w:rPr>
        <w:t>digitalisation</w:t>
      </w:r>
      <w:proofErr w:type="spellEnd"/>
      <w:r w:rsidRPr="001F2597">
        <w:rPr>
          <w:rFonts w:ascii="Open Sans" w:hAnsi="Open Sans" w:cs="Open Sans"/>
          <w:sz w:val="24"/>
          <w:szCs w:val="24"/>
          <w:lang w:val="en-US"/>
        </w:rPr>
        <w:t xml:space="preserve"> of societies and economies, the ongoing transformation of jobs and tasks as a consequence, it is crucial to invest in human capital to support productivity growth</w:t>
      </w:r>
      <w:r w:rsidR="00166FD6" w:rsidRPr="001F2597">
        <w:rPr>
          <w:rFonts w:ascii="Open Sans" w:hAnsi="Open Sans" w:cs="Open Sans"/>
          <w:sz w:val="24"/>
          <w:szCs w:val="24"/>
          <w:lang w:val="en-US"/>
        </w:rPr>
        <w:t>,</w:t>
      </w:r>
      <w:r w:rsidRPr="001F2597">
        <w:rPr>
          <w:rFonts w:ascii="Open Sans" w:hAnsi="Open Sans" w:cs="Open Sans"/>
          <w:sz w:val="24"/>
          <w:szCs w:val="24"/>
          <w:lang w:val="en-US"/>
        </w:rPr>
        <w:t xml:space="preserve"> </w:t>
      </w:r>
      <w:r w:rsidR="00166FD6" w:rsidRPr="001F2597">
        <w:rPr>
          <w:rFonts w:ascii="Open Sans" w:hAnsi="Open Sans" w:cs="Open Sans"/>
          <w:sz w:val="24"/>
          <w:szCs w:val="24"/>
          <w:lang w:val="en-US"/>
        </w:rPr>
        <w:t>to</w:t>
      </w:r>
      <w:r w:rsidRPr="001F2597">
        <w:rPr>
          <w:rFonts w:ascii="Open Sans" w:hAnsi="Open Sans" w:cs="Open Sans"/>
          <w:sz w:val="24"/>
          <w:szCs w:val="24"/>
          <w:lang w:val="en-US"/>
        </w:rPr>
        <w:t xml:space="preserve"> ensure job-rich and robust economies as well as adequate social protection systems.</w:t>
      </w:r>
    </w:p>
    <w:p w14:paraId="768C6402" w14:textId="77777777" w:rsidR="001F2597" w:rsidRPr="001F2597" w:rsidRDefault="001F2597" w:rsidP="001F2597">
      <w:pPr>
        <w:pStyle w:val="a6"/>
        <w:ind w:left="0" w:right="284"/>
        <w:jc w:val="both"/>
        <w:rPr>
          <w:rFonts w:ascii="Open Sans" w:hAnsi="Open Sans" w:cs="Open Sans"/>
          <w:sz w:val="24"/>
          <w:szCs w:val="24"/>
          <w:lang w:val="en-US"/>
        </w:rPr>
      </w:pPr>
    </w:p>
    <w:p w14:paraId="02E5A222" w14:textId="77777777" w:rsidR="00411D81" w:rsidRPr="001F2597" w:rsidRDefault="00411D81" w:rsidP="009929FF">
      <w:pPr>
        <w:pStyle w:val="a6"/>
        <w:numPr>
          <w:ilvl w:val="1"/>
          <w:numId w:val="15"/>
        </w:numPr>
        <w:ind w:left="0" w:right="284" w:hanging="426"/>
        <w:jc w:val="both"/>
        <w:rPr>
          <w:rFonts w:ascii="Open Sans" w:hAnsi="Open Sans" w:cs="Open Sans"/>
          <w:sz w:val="24"/>
          <w:szCs w:val="24"/>
          <w:lang w:val="en-US"/>
        </w:rPr>
      </w:pPr>
      <w:r w:rsidRPr="001F2597">
        <w:rPr>
          <w:rFonts w:ascii="Open Sans" w:hAnsi="Open Sans" w:cs="Open Sans"/>
          <w:sz w:val="24"/>
          <w:szCs w:val="24"/>
          <w:lang w:val="en-US"/>
        </w:rPr>
        <w:t xml:space="preserve">COSAC stresses the importance of access to quality and inclusive education, training and lifelong learning in order to maintain and acquire the relevant skills needed for full participation in society and in the labour market in transition. </w:t>
      </w:r>
    </w:p>
    <w:p w14:paraId="3E899A24" w14:textId="77777777" w:rsidR="001F2597" w:rsidRPr="001F2597" w:rsidRDefault="001F2597" w:rsidP="001F2597">
      <w:pPr>
        <w:pStyle w:val="a6"/>
        <w:ind w:left="0" w:right="284"/>
        <w:jc w:val="both"/>
        <w:rPr>
          <w:rFonts w:ascii="Open Sans" w:hAnsi="Open Sans" w:cs="Open Sans"/>
          <w:sz w:val="24"/>
          <w:szCs w:val="24"/>
          <w:lang w:val="en-US"/>
        </w:rPr>
      </w:pPr>
    </w:p>
    <w:p w14:paraId="3FEB1BDD" w14:textId="77777777" w:rsidR="00411D81" w:rsidRPr="001F2597" w:rsidRDefault="00411D81" w:rsidP="009929FF">
      <w:pPr>
        <w:pStyle w:val="a6"/>
        <w:numPr>
          <w:ilvl w:val="1"/>
          <w:numId w:val="15"/>
        </w:numPr>
        <w:ind w:left="0" w:right="284" w:hanging="426"/>
        <w:jc w:val="both"/>
        <w:rPr>
          <w:rFonts w:ascii="Open Sans" w:hAnsi="Open Sans" w:cs="Open Sans"/>
          <w:sz w:val="24"/>
          <w:szCs w:val="24"/>
          <w:lang w:val="en-US"/>
        </w:rPr>
      </w:pPr>
      <w:r w:rsidRPr="001F2597">
        <w:rPr>
          <w:rFonts w:ascii="Open Sans" w:hAnsi="Open Sans" w:cs="Open Sans"/>
          <w:sz w:val="24"/>
          <w:szCs w:val="24"/>
          <w:lang w:val="en-US"/>
        </w:rPr>
        <w:t>COSAC highlights that equality of treatment and opportunities, in particular between women and men, should be enhanced in all areas, including participation in the labour market, terms and conditions of employment, career progression and equal pay for work of equal value, including measures that favor a good work-life balance.</w:t>
      </w:r>
    </w:p>
    <w:p w14:paraId="3998D463" w14:textId="77777777" w:rsidR="001F2597" w:rsidRPr="001F2597" w:rsidRDefault="001F2597" w:rsidP="001F2597">
      <w:pPr>
        <w:pStyle w:val="a6"/>
        <w:ind w:left="0" w:right="284"/>
        <w:jc w:val="both"/>
        <w:rPr>
          <w:rFonts w:ascii="Open Sans" w:hAnsi="Open Sans" w:cs="Open Sans"/>
          <w:sz w:val="24"/>
          <w:szCs w:val="24"/>
          <w:lang w:val="en-US"/>
        </w:rPr>
      </w:pPr>
    </w:p>
    <w:p w14:paraId="3718B168" w14:textId="77777777" w:rsidR="00411D81" w:rsidRPr="001F2597" w:rsidRDefault="00411D81" w:rsidP="009929FF">
      <w:pPr>
        <w:pStyle w:val="a6"/>
        <w:numPr>
          <w:ilvl w:val="1"/>
          <w:numId w:val="15"/>
        </w:numPr>
        <w:ind w:left="0" w:right="284" w:hanging="426"/>
        <w:jc w:val="both"/>
        <w:rPr>
          <w:rFonts w:ascii="Open Sans" w:hAnsi="Open Sans" w:cs="Open Sans"/>
          <w:sz w:val="24"/>
          <w:szCs w:val="24"/>
          <w:lang w:val="en-US"/>
        </w:rPr>
      </w:pPr>
      <w:r w:rsidRPr="001F2597">
        <w:rPr>
          <w:rFonts w:ascii="Open Sans" w:hAnsi="Open Sans" w:cs="Open Sans"/>
          <w:sz w:val="24"/>
          <w:szCs w:val="24"/>
          <w:lang w:val="en-US"/>
        </w:rPr>
        <w:t>COSAC recognizes the crucial role of social dialogue and stresses that social partners must be closely involved in the design, implementation and monitoring of policies and reforms at EU, national and local level.</w:t>
      </w:r>
    </w:p>
    <w:p w14:paraId="495ABBA5" w14:textId="77777777" w:rsidR="001F2597" w:rsidRPr="001F2597" w:rsidRDefault="001F2597" w:rsidP="001F2597">
      <w:pPr>
        <w:pStyle w:val="a6"/>
        <w:ind w:left="0" w:right="284"/>
        <w:jc w:val="both"/>
        <w:rPr>
          <w:rFonts w:ascii="Open Sans" w:hAnsi="Open Sans" w:cs="Open Sans"/>
          <w:sz w:val="24"/>
          <w:szCs w:val="24"/>
          <w:lang w:val="en-US"/>
        </w:rPr>
      </w:pPr>
    </w:p>
    <w:p w14:paraId="38DD931E" w14:textId="77777777" w:rsidR="00411D81" w:rsidRPr="001F2597" w:rsidRDefault="00411D81" w:rsidP="009929FF">
      <w:pPr>
        <w:pStyle w:val="a6"/>
        <w:numPr>
          <w:ilvl w:val="1"/>
          <w:numId w:val="15"/>
        </w:numPr>
        <w:ind w:left="0" w:right="284" w:hanging="426"/>
        <w:jc w:val="both"/>
        <w:rPr>
          <w:rFonts w:ascii="Open Sans" w:hAnsi="Open Sans" w:cs="Open Sans"/>
          <w:sz w:val="24"/>
          <w:szCs w:val="24"/>
          <w:lang w:val="en-US"/>
        </w:rPr>
      </w:pPr>
      <w:r w:rsidRPr="001F2597">
        <w:rPr>
          <w:rFonts w:ascii="Open Sans" w:hAnsi="Open Sans" w:cs="Open Sans"/>
          <w:sz w:val="24"/>
          <w:szCs w:val="24"/>
          <w:lang w:val="en-US"/>
        </w:rPr>
        <w:t>COS</w:t>
      </w:r>
      <w:r w:rsidR="00CC5F40">
        <w:rPr>
          <w:rFonts w:ascii="Open Sans" w:hAnsi="Open Sans" w:cs="Open Sans"/>
          <w:sz w:val="24"/>
          <w:szCs w:val="24"/>
          <w:lang w:val="en-US"/>
        </w:rPr>
        <w:t>AC takes note of the 29th Bi-a</w:t>
      </w:r>
      <w:r w:rsidRPr="001F2597">
        <w:rPr>
          <w:rFonts w:ascii="Open Sans" w:hAnsi="Open Sans" w:cs="Open Sans"/>
          <w:sz w:val="24"/>
          <w:szCs w:val="24"/>
          <w:lang w:val="en-US"/>
        </w:rPr>
        <w:t xml:space="preserve">nnual Report where according to the National Parliaments/Chambers among the </w:t>
      </w:r>
      <w:r w:rsidR="00166FD6" w:rsidRPr="001F2597">
        <w:rPr>
          <w:rFonts w:ascii="Open Sans" w:hAnsi="Open Sans" w:cs="Open Sans"/>
          <w:sz w:val="24"/>
          <w:szCs w:val="24"/>
          <w:lang w:val="en-US"/>
        </w:rPr>
        <w:t>m</w:t>
      </w:r>
      <w:r w:rsidRPr="001F2597">
        <w:rPr>
          <w:rFonts w:ascii="Open Sans" w:hAnsi="Open Sans" w:cs="Open Sans"/>
          <w:sz w:val="24"/>
          <w:szCs w:val="24"/>
          <w:lang w:val="en-US"/>
        </w:rPr>
        <w:t xml:space="preserve">ost appropriate tools for implementation and monitoring of the European Pillar of Social Rights are a strengthened European Semester reflecting the Pillar`s principles and EU funding instruments designed to support the reforms on </w:t>
      </w:r>
      <w:r w:rsidR="00A320D9">
        <w:rPr>
          <w:rFonts w:ascii="Open Sans" w:hAnsi="Open Sans" w:cs="Open Sans"/>
          <w:sz w:val="24"/>
          <w:szCs w:val="24"/>
          <w:lang w:val="en-US"/>
        </w:rPr>
        <w:t xml:space="preserve">the </w:t>
      </w:r>
      <w:r w:rsidRPr="001F2597">
        <w:rPr>
          <w:rFonts w:ascii="Open Sans" w:hAnsi="Open Sans" w:cs="Open Sans"/>
          <w:sz w:val="24"/>
          <w:szCs w:val="24"/>
          <w:lang w:val="en-US"/>
        </w:rPr>
        <w:t xml:space="preserve">national level. </w:t>
      </w:r>
    </w:p>
    <w:p w14:paraId="2761A823" w14:textId="77777777" w:rsidR="009C116F" w:rsidRPr="001F2597" w:rsidRDefault="009C116F" w:rsidP="001F2597">
      <w:pPr>
        <w:pStyle w:val="a6"/>
        <w:ind w:left="0" w:right="284"/>
        <w:jc w:val="both"/>
        <w:rPr>
          <w:rFonts w:ascii="Open Sans" w:hAnsi="Open Sans" w:cs="Open Sans"/>
          <w:sz w:val="24"/>
          <w:szCs w:val="24"/>
          <w:lang w:val="en-US"/>
        </w:rPr>
      </w:pPr>
    </w:p>
    <w:p w14:paraId="687C1011" w14:textId="77777777" w:rsidR="00E5298C" w:rsidRPr="00786FAC" w:rsidRDefault="00E5298C" w:rsidP="00786FAC">
      <w:pPr>
        <w:spacing w:after="160" w:line="256" w:lineRule="auto"/>
        <w:jc w:val="both"/>
        <w:rPr>
          <w:rFonts w:ascii="Times New Roman" w:eastAsia="Calibri" w:hAnsi="Times New Roman" w:cs="Times New Roman"/>
          <w:sz w:val="24"/>
          <w:szCs w:val="24"/>
          <w:lang w:val="en-GB"/>
        </w:rPr>
      </w:pPr>
    </w:p>
    <w:sectPr w:rsidR="00E5298C" w:rsidRPr="00786FAC" w:rsidSect="001F2597">
      <w:headerReference w:type="default" r:id="rId11"/>
      <w:footerReference w:type="default" r:id="rId12"/>
      <w:pgSz w:w="11907" w:h="16840" w:code="9"/>
      <w:pgMar w:top="2529" w:right="708" w:bottom="993" w:left="1418" w:header="568" w:footer="432"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Κωνσταντινίδου Ελένη" w:date="2018-06-08T14:05:00Z" w:initials="ΚΕ">
    <w:p w14:paraId="4EC1F26B" w14:textId="77777777" w:rsidR="000D6628" w:rsidRDefault="000D6628">
      <w:pPr>
        <w:pStyle w:val="ab"/>
      </w:pPr>
      <w:bookmarkStart w:id="2" w:name="_GoBack"/>
      <w:bookmarkEnd w:id="2"/>
      <w:r>
        <w:rPr>
          <w:rStyle w:val="aa"/>
        </w:rPr>
        <w:annotationRef/>
      </w:r>
    </w:p>
  </w:comment>
  <w:comment w:id="1" w:author="Κωνσταντινίδου Ελένη" w:date="2018-06-08T14:05:00Z" w:initials="ΚΕ">
    <w:p w14:paraId="017DE1D8" w14:textId="77777777" w:rsidR="000D6628" w:rsidRPr="000D6628" w:rsidRDefault="000D6628">
      <w:pPr>
        <w:pStyle w:val="ab"/>
        <w:rPr>
          <w:lang w:val="en-US"/>
        </w:rPr>
      </w:pPr>
      <w:r>
        <w:rPr>
          <w:rStyle w:val="aa"/>
        </w:rPr>
        <w:annotationRef/>
      </w:r>
      <w:r>
        <w:rPr>
          <w:lang w:val="en-US"/>
        </w:rPr>
        <w:t xml:space="preserve">The </w:t>
      </w:r>
      <w:r w:rsidR="00A8436F">
        <w:rPr>
          <w:lang w:val="en-US"/>
        </w:rPr>
        <w:t>position in favor of maintaining the same at least levels of funding becomes clearer</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EC1F26B" w15:done="0"/>
  <w15:commentEx w15:paraId="017DE1D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758099" w14:textId="77777777" w:rsidR="005B5AB6" w:rsidRDefault="005B5AB6" w:rsidP="00996AE6">
      <w:pPr>
        <w:spacing w:after="0" w:line="240" w:lineRule="auto"/>
      </w:pPr>
      <w:r>
        <w:separator/>
      </w:r>
    </w:p>
  </w:endnote>
  <w:endnote w:type="continuationSeparator" w:id="0">
    <w:p w14:paraId="539B32A2" w14:textId="77777777" w:rsidR="005B5AB6" w:rsidRDefault="005B5AB6" w:rsidP="00996A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 Sans">
    <w:altName w:val="Tahoma"/>
    <w:charset w:val="CC"/>
    <w:family w:val="swiss"/>
    <w:pitch w:val="variable"/>
    <w:sig w:usb0="00000001" w:usb1="4000205B" w:usb2="00000028" w:usb3="00000000" w:csb0="0000019F"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4382413"/>
      <w:docPartObj>
        <w:docPartGallery w:val="Page Numbers (Bottom of Page)"/>
        <w:docPartUnique/>
      </w:docPartObj>
    </w:sdtPr>
    <w:sdtEndPr>
      <w:rPr>
        <w:noProof/>
      </w:rPr>
    </w:sdtEndPr>
    <w:sdtContent>
      <w:p w14:paraId="5608C539" w14:textId="77777777" w:rsidR="00411D81" w:rsidRDefault="00411D81" w:rsidP="00411D81">
        <w:pPr>
          <w:pStyle w:val="a5"/>
          <w:tabs>
            <w:tab w:val="clear" w:pos="9072"/>
            <w:tab w:val="left" w:pos="9639"/>
          </w:tabs>
          <w:jc w:val="right"/>
        </w:pPr>
        <w:r>
          <w:rPr>
            <w:noProof/>
            <w:lang w:val="el-GR" w:eastAsia="el-GR"/>
          </w:rPr>
          <w:drawing>
            <wp:anchor distT="0" distB="0" distL="114300" distR="114300" simplePos="0" relativeHeight="251663360" behindDoc="1" locked="0" layoutInCell="1" allowOverlap="1" wp14:anchorId="55470DE7" wp14:editId="21ED3C39">
              <wp:simplePos x="0" y="0"/>
              <wp:positionH relativeFrom="margin">
                <wp:posOffset>5015230</wp:posOffset>
              </wp:positionH>
              <wp:positionV relativeFrom="margin">
                <wp:posOffset>7442835</wp:posOffset>
              </wp:positionV>
              <wp:extent cx="1653540" cy="1655445"/>
              <wp:effectExtent l="0" t="0" r="381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олен десен ъгъл.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3540" cy="1655445"/>
                      </a:xfrm>
                      <a:prstGeom prst="rect">
                        <a:avLst/>
                      </a:prstGeom>
                    </pic:spPr>
                  </pic:pic>
                </a:graphicData>
              </a:graphic>
            </wp:anchor>
          </w:drawing>
        </w:r>
        <w:r w:rsidR="00940169">
          <w:fldChar w:fldCharType="begin"/>
        </w:r>
        <w:r>
          <w:instrText xml:space="preserve"> PAGE   \* MERGEFORMAT </w:instrText>
        </w:r>
        <w:r w:rsidR="00940169">
          <w:fldChar w:fldCharType="separate"/>
        </w:r>
        <w:r w:rsidR="00A8436F">
          <w:rPr>
            <w:noProof/>
          </w:rPr>
          <w:t>4</w:t>
        </w:r>
        <w:r w:rsidR="00940169">
          <w:rPr>
            <w:noProof/>
          </w:rPr>
          <w:fldChar w:fldCharType="end"/>
        </w:r>
      </w:p>
    </w:sdtContent>
  </w:sdt>
  <w:p w14:paraId="29831159" w14:textId="77777777" w:rsidR="00996AE6" w:rsidRPr="00996AE6" w:rsidRDefault="00996AE6" w:rsidP="00996AE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174AF1" w14:textId="77777777" w:rsidR="005B5AB6" w:rsidRDefault="005B5AB6" w:rsidP="00996AE6">
      <w:pPr>
        <w:spacing w:after="0" w:line="240" w:lineRule="auto"/>
      </w:pPr>
      <w:r>
        <w:separator/>
      </w:r>
    </w:p>
  </w:footnote>
  <w:footnote w:type="continuationSeparator" w:id="0">
    <w:p w14:paraId="460AB38E" w14:textId="77777777" w:rsidR="005B5AB6" w:rsidRDefault="005B5AB6" w:rsidP="00996AE6">
      <w:pPr>
        <w:spacing w:after="0" w:line="240" w:lineRule="auto"/>
      </w:pPr>
      <w:r>
        <w:continuationSeparator/>
      </w:r>
    </w:p>
  </w:footnote>
  <w:footnote w:id="1">
    <w:p w14:paraId="252C205D" w14:textId="77777777" w:rsidR="001F2597" w:rsidRDefault="001F2597" w:rsidP="001F2597">
      <w:pPr>
        <w:pStyle w:val="a7"/>
        <w:rPr>
          <w:lang w:val="en-US"/>
        </w:rPr>
      </w:pPr>
      <w:r>
        <w:rPr>
          <w:rStyle w:val="a8"/>
        </w:rPr>
        <w:footnoteRef/>
      </w:r>
      <w:r>
        <w:t xml:space="preserve"> https://ec.europa.eu/commission/publications/factsheets-long-term-budget-proposals_en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4B238" w14:textId="77777777" w:rsidR="00996AE6" w:rsidRDefault="001627BB">
    <w:pPr>
      <w:pStyle w:val="a4"/>
    </w:pPr>
    <w:r>
      <w:rPr>
        <w:noProof/>
        <w:lang w:val="el-GR" w:eastAsia="el-GR"/>
      </w:rPr>
      <w:drawing>
        <wp:anchor distT="0" distB="0" distL="114300" distR="114300" simplePos="0" relativeHeight="251662336" behindDoc="0" locked="0" layoutInCell="1" allowOverlap="1" wp14:anchorId="2F8DA290" wp14:editId="67A237E4">
          <wp:simplePos x="0" y="0"/>
          <wp:positionH relativeFrom="margin">
            <wp:posOffset>-203200</wp:posOffset>
          </wp:positionH>
          <wp:positionV relativeFrom="margin">
            <wp:posOffset>-1343025</wp:posOffset>
          </wp:positionV>
          <wp:extent cx="1254125" cy="1187450"/>
          <wp:effectExtent l="0" t="0" r="317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LOGO-PARLEU.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4125" cy="11874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E585E"/>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9B05EFA"/>
    <w:multiLevelType w:val="hybridMultilevel"/>
    <w:tmpl w:val="AEE2B6DE"/>
    <w:lvl w:ilvl="0" w:tplc="0409000F">
      <w:start w:val="1"/>
      <w:numFmt w:val="decimal"/>
      <w:lvlText w:val="%1."/>
      <w:lvlJc w:val="left"/>
      <w:pPr>
        <w:tabs>
          <w:tab w:val="num" w:pos="540"/>
        </w:tabs>
        <w:ind w:left="54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14D1551B"/>
    <w:multiLevelType w:val="multilevel"/>
    <w:tmpl w:val="0402001F"/>
    <w:lvl w:ilvl="0">
      <w:start w:val="1"/>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9144D53"/>
    <w:multiLevelType w:val="multilevel"/>
    <w:tmpl w:val="788C377A"/>
    <w:lvl w:ilvl="0">
      <w:start w:val="1"/>
      <w:numFmt w:val="decimal"/>
      <w:lvlText w:val="%1"/>
      <w:lvlJc w:val="left"/>
      <w:pPr>
        <w:ind w:left="360" w:hanging="360"/>
      </w:pPr>
    </w:lvl>
    <w:lvl w:ilvl="1">
      <w:start w:val="1"/>
      <w:numFmt w:val="decimal"/>
      <w:lvlText w:val="%1.%2"/>
      <w:lvlJc w:val="left"/>
      <w:pPr>
        <w:ind w:left="1004" w:hanging="720"/>
      </w:pPr>
      <w:rPr>
        <w:rFonts w:ascii="Open Sans" w:hAnsi="Open Sans" w:cs="Open Sans" w:hint="default"/>
        <w:sz w:val="24"/>
        <w:szCs w:val="24"/>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4" w15:restartNumberingAfterBreak="0">
    <w:nsid w:val="2CF85936"/>
    <w:multiLevelType w:val="multilevel"/>
    <w:tmpl w:val="5936E372"/>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E790E12"/>
    <w:multiLevelType w:val="multilevel"/>
    <w:tmpl w:val="D2E64404"/>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3520A41"/>
    <w:multiLevelType w:val="multilevel"/>
    <w:tmpl w:val="26B2BC7A"/>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35A8269A"/>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E1F5BD6"/>
    <w:multiLevelType w:val="multilevel"/>
    <w:tmpl w:val="B75E4930"/>
    <w:lvl w:ilvl="0">
      <w:start w:val="4"/>
      <w:numFmt w:val="decimal"/>
      <w:lvlText w:val="%1"/>
      <w:lvlJc w:val="left"/>
      <w:pPr>
        <w:ind w:left="360" w:hanging="36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15:restartNumberingAfterBreak="0">
    <w:nsid w:val="3ECD089A"/>
    <w:multiLevelType w:val="multilevel"/>
    <w:tmpl w:val="DF8A3B4E"/>
    <w:lvl w:ilvl="0">
      <w:start w:val="1"/>
      <w:numFmt w:val="decimal"/>
      <w:lvlText w:val="%1."/>
      <w:lvlJc w:val="left"/>
      <w:pPr>
        <w:ind w:left="720" w:hanging="360"/>
      </w:pPr>
      <w:rPr>
        <w:rFonts w:ascii="Open Sans" w:eastAsia="Calibri" w:hAnsi="Open Sans" w:cs="Open Sans"/>
      </w:rPr>
    </w:lvl>
    <w:lvl w:ilvl="1">
      <w:start w:val="1"/>
      <w:numFmt w:val="decimal"/>
      <w:isLgl/>
      <w:lvlText w:val="%1.%2"/>
      <w:lvlJc w:val="left"/>
      <w:pPr>
        <w:ind w:left="1571"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0" w15:restartNumberingAfterBreak="0">
    <w:nsid w:val="45244464"/>
    <w:multiLevelType w:val="multilevel"/>
    <w:tmpl w:val="FC644B96"/>
    <w:lvl w:ilvl="0">
      <w:start w:val="4"/>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46026FE7"/>
    <w:multiLevelType w:val="hybridMultilevel"/>
    <w:tmpl w:val="25767B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1CB2ED1"/>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30A710D"/>
    <w:multiLevelType w:val="multilevel"/>
    <w:tmpl w:val="D2E64404"/>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6F2C4C68"/>
    <w:multiLevelType w:val="multilevel"/>
    <w:tmpl w:val="D2E6440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70647F37"/>
    <w:multiLevelType w:val="hybridMultilevel"/>
    <w:tmpl w:val="E17ACB4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72DB139F"/>
    <w:multiLevelType w:val="multilevel"/>
    <w:tmpl w:val="788C377A"/>
    <w:lvl w:ilvl="0">
      <w:start w:val="1"/>
      <w:numFmt w:val="decimal"/>
      <w:lvlText w:val="%1"/>
      <w:lvlJc w:val="left"/>
      <w:pPr>
        <w:ind w:left="360" w:hanging="360"/>
      </w:pPr>
    </w:lvl>
    <w:lvl w:ilvl="1">
      <w:start w:val="1"/>
      <w:numFmt w:val="decimal"/>
      <w:lvlText w:val="%1.%2"/>
      <w:lvlJc w:val="left"/>
      <w:pPr>
        <w:ind w:left="1004" w:hanging="720"/>
      </w:pPr>
      <w:rPr>
        <w:rFonts w:ascii="Open Sans" w:hAnsi="Open Sans" w:cs="Open Sans" w:hint="default"/>
        <w:sz w:val="24"/>
        <w:szCs w:val="24"/>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7" w15:restartNumberingAfterBreak="0">
    <w:nsid w:val="7F9973A1"/>
    <w:multiLevelType w:val="hybridMultilevel"/>
    <w:tmpl w:val="8362CF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3"/>
  </w:num>
  <w:num w:numId="5">
    <w:abstractNumId w:val="15"/>
  </w:num>
  <w:num w:numId="6">
    <w:abstractNumId w:val="0"/>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4"/>
  </w:num>
  <w:num w:numId="10">
    <w:abstractNumId w:val="11"/>
  </w:num>
  <w:num w:numId="11">
    <w:abstractNumId w:val="12"/>
  </w:num>
  <w:num w:numId="12">
    <w:abstractNumId w:val="7"/>
  </w:num>
  <w:num w:numId="13">
    <w:abstractNumId w:val="8"/>
  </w:num>
  <w:num w:numId="14">
    <w:abstractNumId w:val="6"/>
  </w:num>
  <w:num w:numId="15">
    <w:abstractNumId w:val="14"/>
  </w:num>
  <w:num w:numId="16">
    <w:abstractNumId w:val="13"/>
  </w:num>
  <w:num w:numId="17">
    <w:abstractNumId w:val="5"/>
  </w:num>
  <w:num w:numId="18">
    <w:abstractNumId w:val="10"/>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Κωνσταντινίδου Ελένη">
    <w15:presenceInfo w15:providerId="AD" w15:userId="S-1-5-21-448539723-1004336348-682003330-62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79E"/>
    <w:rsid w:val="0003232D"/>
    <w:rsid w:val="00062D29"/>
    <w:rsid w:val="00073441"/>
    <w:rsid w:val="00092235"/>
    <w:rsid w:val="000D6628"/>
    <w:rsid w:val="00105191"/>
    <w:rsid w:val="001627BB"/>
    <w:rsid w:val="0016317D"/>
    <w:rsid w:val="00163B3D"/>
    <w:rsid w:val="00166FD6"/>
    <w:rsid w:val="0017754F"/>
    <w:rsid w:val="001833AE"/>
    <w:rsid w:val="001C550D"/>
    <w:rsid w:val="001F2597"/>
    <w:rsid w:val="00204FFE"/>
    <w:rsid w:val="00216D09"/>
    <w:rsid w:val="002536B3"/>
    <w:rsid w:val="00287240"/>
    <w:rsid w:val="002A5E17"/>
    <w:rsid w:val="002B07E5"/>
    <w:rsid w:val="002D168D"/>
    <w:rsid w:val="002F7F73"/>
    <w:rsid w:val="0030233F"/>
    <w:rsid w:val="003032CF"/>
    <w:rsid w:val="003336D4"/>
    <w:rsid w:val="003378C4"/>
    <w:rsid w:val="003428E8"/>
    <w:rsid w:val="003469D6"/>
    <w:rsid w:val="00346FC2"/>
    <w:rsid w:val="00362193"/>
    <w:rsid w:val="00376519"/>
    <w:rsid w:val="003D232A"/>
    <w:rsid w:val="004115C9"/>
    <w:rsid w:val="00411647"/>
    <w:rsid w:val="00411D81"/>
    <w:rsid w:val="004328B7"/>
    <w:rsid w:val="00441711"/>
    <w:rsid w:val="004443D1"/>
    <w:rsid w:val="004538B1"/>
    <w:rsid w:val="004834B3"/>
    <w:rsid w:val="004C3237"/>
    <w:rsid w:val="004D679E"/>
    <w:rsid w:val="004E44B2"/>
    <w:rsid w:val="005027E2"/>
    <w:rsid w:val="005337CF"/>
    <w:rsid w:val="005510DE"/>
    <w:rsid w:val="0057723B"/>
    <w:rsid w:val="005A70B4"/>
    <w:rsid w:val="005B5AB6"/>
    <w:rsid w:val="005E3883"/>
    <w:rsid w:val="005F4AED"/>
    <w:rsid w:val="00672D15"/>
    <w:rsid w:val="006734CE"/>
    <w:rsid w:val="006942BD"/>
    <w:rsid w:val="006F5066"/>
    <w:rsid w:val="007220BE"/>
    <w:rsid w:val="007508D6"/>
    <w:rsid w:val="007513C6"/>
    <w:rsid w:val="007767E5"/>
    <w:rsid w:val="007770A9"/>
    <w:rsid w:val="00786FAC"/>
    <w:rsid w:val="00790CFA"/>
    <w:rsid w:val="007D5EB2"/>
    <w:rsid w:val="00825AB9"/>
    <w:rsid w:val="0083010B"/>
    <w:rsid w:val="00842F77"/>
    <w:rsid w:val="00882EEC"/>
    <w:rsid w:val="008B24A9"/>
    <w:rsid w:val="008D1D13"/>
    <w:rsid w:val="008F51B5"/>
    <w:rsid w:val="009042EE"/>
    <w:rsid w:val="009139A8"/>
    <w:rsid w:val="00914406"/>
    <w:rsid w:val="0091505A"/>
    <w:rsid w:val="00940169"/>
    <w:rsid w:val="00960D2E"/>
    <w:rsid w:val="009907BA"/>
    <w:rsid w:val="009929FF"/>
    <w:rsid w:val="00996AE6"/>
    <w:rsid w:val="009C116F"/>
    <w:rsid w:val="009E0EF8"/>
    <w:rsid w:val="00A16C8B"/>
    <w:rsid w:val="00A320D9"/>
    <w:rsid w:val="00A33701"/>
    <w:rsid w:val="00A45DFF"/>
    <w:rsid w:val="00A55A1B"/>
    <w:rsid w:val="00A72977"/>
    <w:rsid w:val="00A8436F"/>
    <w:rsid w:val="00AA040F"/>
    <w:rsid w:val="00AC7A50"/>
    <w:rsid w:val="00AF7880"/>
    <w:rsid w:val="00B22D12"/>
    <w:rsid w:val="00B413DC"/>
    <w:rsid w:val="00B47D12"/>
    <w:rsid w:val="00B7343C"/>
    <w:rsid w:val="00B74636"/>
    <w:rsid w:val="00B805AD"/>
    <w:rsid w:val="00BB4A0E"/>
    <w:rsid w:val="00BB6821"/>
    <w:rsid w:val="00BD40BD"/>
    <w:rsid w:val="00BF3429"/>
    <w:rsid w:val="00C12678"/>
    <w:rsid w:val="00C16584"/>
    <w:rsid w:val="00C313D8"/>
    <w:rsid w:val="00C63325"/>
    <w:rsid w:val="00CA7057"/>
    <w:rsid w:val="00CC5F40"/>
    <w:rsid w:val="00CD5D7E"/>
    <w:rsid w:val="00CD6E23"/>
    <w:rsid w:val="00CE3B29"/>
    <w:rsid w:val="00CF1776"/>
    <w:rsid w:val="00CF483A"/>
    <w:rsid w:val="00CF6044"/>
    <w:rsid w:val="00D05112"/>
    <w:rsid w:val="00D26293"/>
    <w:rsid w:val="00D61516"/>
    <w:rsid w:val="00D65635"/>
    <w:rsid w:val="00D76FF1"/>
    <w:rsid w:val="00D92C1D"/>
    <w:rsid w:val="00DA0344"/>
    <w:rsid w:val="00E359D8"/>
    <w:rsid w:val="00E43A63"/>
    <w:rsid w:val="00E5298C"/>
    <w:rsid w:val="00E74337"/>
    <w:rsid w:val="00E74EA0"/>
    <w:rsid w:val="00E85C5C"/>
    <w:rsid w:val="00EA0412"/>
    <w:rsid w:val="00EB01C8"/>
    <w:rsid w:val="00EC2C89"/>
    <w:rsid w:val="00EC35FB"/>
    <w:rsid w:val="00F207BA"/>
    <w:rsid w:val="00F4251E"/>
    <w:rsid w:val="00F6116D"/>
    <w:rsid w:val="00FB1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CB42D3"/>
  <w15:docId w15:val="{B954AD4E-F68B-486E-BE7F-43A01A9BD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D679E"/>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4D679E"/>
    <w:rPr>
      <w:rFonts w:ascii="Tahoma" w:hAnsi="Tahoma" w:cs="Tahoma"/>
      <w:sz w:val="16"/>
      <w:szCs w:val="16"/>
    </w:rPr>
  </w:style>
  <w:style w:type="paragraph" w:styleId="a4">
    <w:name w:val="header"/>
    <w:basedOn w:val="a"/>
    <w:link w:val="Char0"/>
    <w:uiPriority w:val="99"/>
    <w:unhideWhenUsed/>
    <w:rsid w:val="00996AE6"/>
    <w:pPr>
      <w:tabs>
        <w:tab w:val="center" w:pos="4536"/>
        <w:tab w:val="right" w:pos="9072"/>
      </w:tabs>
      <w:spacing w:after="0" w:line="240" w:lineRule="auto"/>
    </w:pPr>
  </w:style>
  <w:style w:type="character" w:customStyle="1" w:styleId="Char0">
    <w:name w:val="Κεφαλίδα Char"/>
    <w:basedOn w:val="a0"/>
    <w:link w:val="a4"/>
    <w:uiPriority w:val="99"/>
    <w:rsid w:val="00996AE6"/>
  </w:style>
  <w:style w:type="paragraph" w:styleId="a5">
    <w:name w:val="footer"/>
    <w:basedOn w:val="a"/>
    <w:link w:val="Char1"/>
    <w:uiPriority w:val="99"/>
    <w:unhideWhenUsed/>
    <w:rsid w:val="00996AE6"/>
    <w:pPr>
      <w:tabs>
        <w:tab w:val="center" w:pos="4536"/>
        <w:tab w:val="right" w:pos="9072"/>
      </w:tabs>
      <w:spacing w:after="0" w:line="240" w:lineRule="auto"/>
    </w:pPr>
  </w:style>
  <w:style w:type="character" w:customStyle="1" w:styleId="Char1">
    <w:name w:val="Υποσέλιδο Char"/>
    <w:basedOn w:val="a0"/>
    <w:link w:val="a5"/>
    <w:uiPriority w:val="99"/>
    <w:rsid w:val="00996AE6"/>
  </w:style>
  <w:style w:type="paragraph" w:styleId="a6">
    <w:name w:val="List Paragraph"/>
    <w:basedOn w:val="a"/>
    <w:uiPriority w:val="34"/>
    <w:qFormat/>
    <w:rsid w:val="00EC2C89"/>
    <w:pPr>
      <w:ind w:left="720"/>
      <w:contextualSpacing/>
    </w:pPr>
  </w:style>
  <w:style w:type="paragraph" w:styleId="a7">
    <w:name w:val="footnote text"/>
    <w:basedOn w:val="a"/>
    <w:link w:val="Char2"/>
    <w:uiPriority w:val="99"/>
    <w:semiHidden/>
    <w:unhideWhenUsed/>
    <w:rsid w:val="001F2597"/>
    <w:pPr>
      <w:spacing w:after="0" w:line="240" w:lineRule="auto"/>
    </w:pPr>
    <w:rPr>
      <w:sz w:val="20"/>
      <w:szCs w:val="20"/>
    </w:rPr>
  </w:style>
  <w:style w:type="character" w:customStyle="1" w:styleId="Char2">
    <w:name w:val="Κείμενο υποσημείωσης Char"/>
    <w:basedOn w:val="a0"/>
    <w:link w:val="a7"/>
    <w:uiPriority w:val="99"/>
    <w:semiHidden/>
    <w:rsid w:val="001F2597"/>
    <w:rPr>
      <w:sz w:val="20"/>
      <w:szCs w:val="20"/>
    </w:rPr>
  </w:style>
  <w:style w:type="character" w:styleId="a8">
    <w:name w:val="footnote reference"/>
    <w:basedOn w:val="a0"/>
    <w:uiPriority w:val="99"/>
    <w:semiHidden/>
    <w:unhideWhenUsed/>
    <w:rsid w:val="001F2597"/>
    <w:rPr>
      <w:vertAlign w:val="superscript"/>
    </w:rPr>
  </w:style>
  <w:style w:type="paragraph" w:styleId="a9">
    <w:name w:val="Revision"/>
    <w:hidden/>
    <w:uiPriority w:val="99"/>
    <w:semiHidden/>
    <w:rsid w:val="000D6628"/>
    <w:pPr>
      <w:spacing w:after="0" w:line="240" w:lineRule="auto"/>
    </w:pPr>
  </w:style>
  <w:style w:type="character" w:styleId="aa">
    <w:name w:val="annotation reference"/>
    <w:basedOn w:val="a0"/>
    <w:uiPriority w:val="99"/>
    <w:semiHidden/>
    <w:unhideWhenUsed/>
    <w:rsid w:val="000D6628"/>
    <w:rPr>
      <w:sz w:val="16"/>
      <w:szCs w:val="16"/>
    </w:rPr>
  </w:style>
  <w:style w:type="paragraph" w:styleId="ab">
    <w:name w:val="annotation text"/>
    <w:basedOn w:val="a"/>
    <w:link w:val="Char3"/>
    <w:uiPriority w:val="99"/>
    <w:semiHidden/>
    <w:unhideWhenUsed/>
    <w:rsid w:val="000D6628"/>
    <w:pPr>
      <w:spacing w:line="240" w:lineRule="auto"/>
    </w:pPr>
    <w:rPr>
      <w:sz w:val="20"/>
      <w:szCs w:val="20"/>
    </w:rPr>
  </w:style>
  <w:style w:type="character" w:customStyle="1" w:styleId="Char3">
    <w:name w:val="Κείμενο σχολίου Char"/>
    <w:basedOn w:val="a0"/>
    <w:link w:val="ab"/>
    <w:uiPriority w:val="99"/>
    <w:semiHidden/>
    <w:rsid w:val="000D6628"/>
    <w:rPr>
      <w:sz w:val="20"/>
      <w:szCs w:val="20"/>
    </w:rPr>
  </w:style>
  <w:style w:type="paragraph" w:styleId="ac">
    <w:name w:val="annotation subject"/>
    <w:basedOn w:val="ab"/>
    <w:next w:val="ab"/>
    <w:link w:val="Char4"/>
    <w:uiPriority w:val="99"/>
    <w:semiHidden/>
    <w:unhideWhenUsed/>
    <w:rsid w:val="000D6628"/>
    <w:rPr>
      <w:b/>
      <w:bCs/>
    </w:rPr>
  </w:style>
  <w:style w:type="character" w:customStyle="1" w:styleId="Char4">
    <w:name w:val="Θέμα σχολίου Char"/>
    <w:basedOn w:val="Char3"/>
    <w:link w:val="ac"/>
    <w:uiPriority w:val="99"/>
    <w:semiHidden/>
    <w:rsid w:val="000D662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880989">
      <w:bodyDiv w:val="1"/>
      <w:marLeft w:val="0"/>
      <w:marRight w:val="0"/>
      <w:marTop w:val="0"/>
      <w:marBottom w:val="0"/>
      <w:divBdr>
        <w:top w:val="none" w:sz="0" w:space="0" w:color="auto"/>
        <w:left w:val="none" w:sz="0" w:space="0" w:color="auto"/>
        <w:bottom w:val="none" w:sz="0" w:space="0" w:color="auto"/>
        <w:right w:val="none" w:sz="0" w:space="0" w:color="auto"/>
      </w:divBdr>
    </w:div>
    <w:div w:id="608973727">
      <w:bodyDiv w:val="1"/>
      <w:marLeft w:val="0"/>
      <w:marRight w:val="0"/>
      <w:marTop w:val="0"/>
      <w:marBottom w:val="0"/>
      <w:divBdr>
        <w:top w:val="none" w:sz="0" w:space="0" w:color="auto"/>
        <w:left w:val="none" w:sz="0" w:space="0" w:color="auto"/>
        <w:bottom w:val="none" w:sz="0" w:space="0" w:color="auto"/>
        <w:right w:val="none" w:sz="0" w:space="0" w:color="auto"/>
      </w:divBdr>
    </w:div>
    <w:div w:id="1037121221">
      <w:bodyDiv w:val="1"/>
      <w:marLeft w:val="0"/>
      <w:marRight w:val="0"/>
      <w:marTop w:val="0"/>
      <w:marBottom w:val="0"/>
      <w:divBdr>
        <w:top w:val="none" w:sz="0" w:space="0" w:color="auto"/>
        <w:left w:val="none" w:sz="0" w:space="0" w:color="auto"/>
        <w:bottom w:val="none" w:sz="0" w:space="0" w:color="auto"/>
        <w:right w:val="none" w:sz="0" w:space="0" w:color="auto"/>
      </w:divBdr>
    </w:div>
    <w:div w:id="1921060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commission/sites/beta-political/files/communication-credible-enlargement-perspective-western-balkans_en.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509FE-18A8-4813-8C13-A1648D04E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1962</Words>
  <Characters>10601</Characters>
  <Application>Microsoft Office Word</Application>
  <DocSecurity>0</DocSecurity>
  <Lines>88</Lines>
  <Paragraphs>25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12538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Ignatova</dc:creator>
  <cp:lastModifiedBy>Κωνσταντινίδου Ελένη</cp:lastModifiedBy>
  <cp:revision>9</cp:revision>
  <cp:lastPrinted>2018-05-31T10:22:00Z</cp:lastPrinted>
  <dcterms:created xsi:type="dcterms:W3CDTF">2018-06-01T09:31:00Z</dcterms:created>
  <dcterms:modified xsi:type="dcterms:W3CDTF">2018-06-08T11:20:00Z</dcterms:modified>
</cp:coreProperties>
</file>