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F7" w:rsidRDefault="00A37B81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BB5AA8AA5284717AD154BCB47F7CB30" style="width:450.75pt;height:475.5pt">
            <v:imagedata r:id="rId7" o:title=""/>
          </v:shape>
        </w:pict>
      </w:r>
    </w:p>
    <w:bookmarkEnd w:id="0"/>
    <w:p w:rsidR="003D02F7" w:rsidRDefault="003D02F7">
      <w:pPr>
        <w:rPr>
          <w:noProof/>
        </w:rPr>
        <w:sectPr w:rsidR="003D02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3D02F7" w:rsidRDefault="00A37B81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A MEGFELELŐSÉGÉRTÉKELŐ SZERVEZETEK ÁLTAL TELJESÍTENDŐ KÖVETELMÉNYEK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Az akkreditációt igénylő </w:t>
      </w:r>
      <w:r>
        <w:rPr>
          <w:rFonts w:ascii="Times New Roman" w:hAnsi="Times New Roman"/>
          <w:noProof/>
          <w:sz w:val="24"/>
        </w:rPr>
        <w:t>megfelelőségértékelő szervezeteknek meg kell felelniük az alábbi követelményeknek: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1. A megfelelőségértékelő szervezetet nemzeti jogszabályok szerint kell létrehozni, és annak jogi személyiséggel kell rendelkeznie.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2. A megfelelőségértékelő szervezetnek az</w:t>
      </w:r>
      <w:r>
        <w:rPr>
          <w:rFonts w:ascii="Times New Roman" w:hAnsi="Times New Roman"/>
          <w:noProof/>
          <w:sz w:val="24"/>
        </w:rPr>
        <w:t xml:space="preserve"> általa értékelt szervezettől, illetve IKT-termékektől vagy -szolgáltatásoktól független harmadik félnek kell lennie.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3. Megfelelőségértékelő szervezetnek tekinthető az a szervezet is, amely az általa értékelt IKT-termékek vagy -szolgáltatások tervezésében</w:t>
      </w:r>
      <w:r>
        <w:rPr>
          <w:rFonts w:ascii="Times New Roman" w:hAnsi="Times New Roman"/>
          <w:noProof/>
          <w:sz w:val="24"/>
        </w:rPr>
        <w:t>, gyártásában, szállításában, összeszerelésében, használatában vagy karbantartásában részt vevő vállalkozásokat képviselő vállalkozói szövetséghez vagy szakmai egyesüléshez tartozik, feltéve, hogy bizonyítottan független és összeférhetetlenségektől mentes.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4. A megfelelőségértékelő szervezet, valamint annak felső vezetése és a megfelelőségértékelési feladatok elvégzéséért felelős személyzet nem lehet tervezője, gyártója, szállítója, üzembe helyezője, vásárlója, tulajdonosa, felhasználója és karbantartója az</w:t>
      </w:r>
      <w:r>
        <w:rPr>
          <w:rFonts w:ascii="Times New Roman" w:hAnsi="Times New Roman"/>
          <w:noProof/>
          <w:sz w:val="24"/>
        </w:rPr>
        <w:t xml:space="preserve"> értékelés tárgyát képező IKT-terméknek vagy -szolgáltatásnak, valamint nem lehet a felsorolt felek meghatalmazott képviselője sem. Ez nem zárja ki a megfelelőségértékelő szervezet működéséhez szükséges, értékelt termékek használatát, sem az értékelt termé</w:t>
      </w:r>
      <w:r>
        <w:rPr>
          <w:rFonts w:ascii="Times New Roman" w:hAnsi="Times New Roman"/>
          <w:noProof/>
          <w:sz w:val="24"/>
        </w:rPr>
        <w:t>kek személyes célra történő használatát.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5. A megfelelőségértékelő szervezet, valamint annak felső vezetése és a megfelelőségértékelési feladatok elvégzéséért felelős személyzet nem vehet részt közvetlenül a szóban forgó IKT-termékek vagy -szolgáltatások t</w:t>
      </w:r>
      <w:r>
        <w:rPr>
          <w:rFonts w:ascii="Times New Roman" w:hAnsi="Times New Roman"/>
          <w:noProof/>
          <w:sz w:val="24"/>
        </w:rPr>
        <w:t>ervezésében, gyártásában és kivitelezésében, értékesítésében, üzembe helyezésében, használatában és karbantartásában, továbbá nem képviselhet ilyen tevékenységben részt vevő feleket. Nem vehet részt továbbá olyan tevékenységben sem, amely veszélyeztetné dö</w:t>
      </w:r>
      <w:r>
        <w:rPr>
          <w:rFonts w:ascii="Times New Roman" w:hAnsi="Times New Roman"/>
          <w:noProof/>
          <w:sz w:val="24"/>
        </w:rPr>
        <w:t>ntéshozói függetlenségét vagy feddhetetlenségét azon megfelelőségértékelési tevékenységek tekintetében, amelyek elvégzésére bejelentették. Ez a szaktanácsadási szolgáltatásokra különösen érvényes.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6. A megfelelőségértékelő szervezetnek gondoskodnia kell ar</w:t>
      </w:r>
      <w:r>
        <w:rPr>
          <w:rFonts w:ascii="Times New Roman" w:hAnsi="Times New Roman"/>
          <w:noProof/>
          <w:sz w:val="24"/>
        </w:rPr>
        <w:t>ról, hogy leányvállalatainak és alvállalkozóinak tevékenysége ne befolyásolja megfelelőségértékelési tevékenységei bizalmas jellegét, objektivitását és pártatlanságát.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7. A megfelelőségértékelő szervezetnek és személyzetének a legmagasabb szintű szakmai fe</w:t>
      </w:r>
      <w:r>
        <w:rPr>
          <w:rFonts w:ascii="Times New Roman" w:hAnsi="Times New Roman"/>
          <w:noProof/>
          <w:sz w:val="24"/>
        </w:rPr>
        <w:t>ddhetetlenséggel és az adott szakterületen elvárható műszaki felkészültséggel kell megfelelőségértékelési tevékenységét végezni, és függetlennek kell lennie minden olyan – többek között pénzügyi – nyomásgyakorlástól és ösztönzéstől, amely befolyásolhatná í</w:t>
      </w:r>
      <w:r>
        <w:rPr>
          <w:rFonts w:ascii="Times New Roman" w:hAnsi="Times New Roman"/>
          <w:noProof/>
          <w:sz w:val="24"/>
        </w:rPr>
        <w:t>télőképességét vagy megfelelőségértékelési tevékenysége eredményeit; különösen érvényes ez a tevékenysége eredményeiben érdekelt személyek vagy azok csoportjának viszonylatában.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8. A megfelelőségértékelő szervezetnek képesnek kell lennie az e rendelet alap</w:t>
      </w:r>
      <w:r>
        <w:rPr>
          <w:rFonts w:ascii="Times New Roman" w:hAnsi="Times New Roman"/>
          <w:noProof/>
          <w:sz w:val="24"/>
        </w:rPr>
        <w:t>ján ráruházott valamennyi megfelelőségértékelési feladat elvégzésére, függetlenül attól, hogy ezeket a feladatokat a megfelelőségértékelő szervezet maga, vagy az ő nevében és felelősségi körében valaki más végzi el.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9. A megfelelőségértékelő szervezetnek </w:t>
      </w:r>
      <w:r>
        <w:rPr>
          <w:rFonts w:ascii="Times New Roman" w:hAnsi="Times New Roman"/>
          <w:noProof/>
          <w:sz w:val="24"/>
        </w:rPr>
        <w:t>minden megfelelőségértékelési eljárás és az IKT-termékek és -szolgáltatások minden fajtája, kategóriája és alkategóriája tekintetében mindenkor rendelkeznie kell a következőkkel: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a) olyan személyzet, amely műszaki ismeretekkel, valamint elegendő és megfele</w:t>
      </w:r>
      <w:r>
        <w:rPr>
          <w:rFonts w:ascii="Times New Roman" w:hAnsi="Times New Roman"/>
          <w:noProof/>
          <w:sz w:val="24"/>
        </w:rPr>
        <w:t>lő tapasztalattal rendelkezik a megfelelőségértékelési feladatok elvégzéséhez;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b) azon eljárások leírása, amelyek szerint a megfelelőségértékelést végzik, és amelyek biztosítják ezen eljárások átláthatóságát és megismételhetőségét. Rendelkeznie kell megfel</w:t>
      </w:r>
      <w:r>
        <w:rPr>
          <w:rFonts w:ascii="Times New Roman" w:hAnsi="Times New Roman"/>
          <w:noProof/>
          <w:sz w:val="24"/>
        </w:rPr>
        <w:t>elő szabályokkal és eljárásokkal, amelyek segítségével a bejelentett szervezetként végzett feladatai és az egyéb tevékenységei elkülönülnek egymástól;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c) olyan eljárások, amelyek segítségével tevékenysége során képes megfelelően figyelembe venni az adott v</w:t>
      </w:r>
      <w:r>
        <w:rPr>
          <w:rFonts w:ascii="Times New Roman" w:hAnsi="Times New Roman"/>
          <w:noProof/>
          <w:sz w:val="24"/>
        </w:rPr>
        <w:t xml:space="preserve">állalkozás méretét, az ágazatot, amelyben a vállalkozás a tevékenységét folytatja, a vállalkozás szerkezetét, az érintett IKT-termék vagy </w:t>
      </w:r>
      <w:r>
        <w:rPr>
          <w:rFonts w:ascii="Times New Roman" w:hAnsi="Times New Roman"/>
          <w:noProof/>
          <w:sz w:val="24"/>
        </w:rPr>
        <w:noBreakHyphen/>
        <w:t>szolgáltatás technológiai összetettségének fokát, valamint azt, hogy tömeg- vagy sorozatgyártásról van-e szó.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10. A m</w:t>
      </w:r>
      <w:r>
        <w:rPr>
          <w:rFonts w:ascii="Times New Roman" w:hAnsi="Times New Roman"/>
          <w:noProof/>
          <w:sz w:val="24"/>
        </w:rPr>
        <w:t>egfelelőségértékelő szervezetnek rendelkeznie kell a megfelelőségértékelési tevékenységekhez kapcsolódó műszaki és adminisztrációs feladatok megfelelő ellátásához szükséges eszközökkel, és hozzá kell férnie minden szükséges felszereléshez, illetve létesítm</w:t>
      </w:r>
      <w:r>
        <w:rPr>
          <w:rFonts w:ascii="Times New Roman" w:hAnsi="Times New Roman"/>
          <w:noProof/>
          <w:sz w:val="24"/>
        </w:rPr>
        <w:t>ényhez.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11. A megfelelőségértékelési tevékenységek elvégzéséért felelős személyzetnek rendelkeznie kell a következőkkel: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a)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valamennyi megfelelőségértékelési tevékenységre kiterjedő, alapos műszaki és szakképzettség;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b) az általa végzett értékelésekre vona</w:t>
      </w:r>
      <w:r>
        <w:rPr>
          <w:rFonts w:ascii="Times New Roman" w:hAnsi="Times New Roman"/>
          <w:noProof/>
          <w:sz w:val="24"/>
        </w:rPr>
        <w:t>tkozó követelmények kellő ismerete és megfelelő hatáskör a szóban forgó értékelések elvégzésére;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c) a vonatkozó követelmények és vizsgálati előírások megfelelő szintű ismerete és megértése;</w:t>
      </w:r>
    </w:p>
    <w:p w:rsidR="003D02F7" w:rsidRDefault="00A37B81">
      <w:pPr>
        <w:ind w:left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d) az értékelések elvégzését igazoló tanúsítványok, nyilvántartáso</w:t>
      </w:r>
      <w:r>
        <w:rPr>
          <w:rFonts w:ascii="Times New Roman" w:hAnsi="Times New Roman"/>
          <w:noProof/>
          <w:sz w:val="24"/>
        </w:rPr>
        <w:t>k és jelentések elkészítésének képessége.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12. Biztosítani kell a megfelelőségértékelő szervezet, annak felső vezetése és az értékelést végző személyzet pártatlanságát.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13. A megfelelőségértékelő szervezet felső vezetésének és az értékelést végző </w:t>
      </w:r>
      <w:r>
        <w:rPr>
          <w:rFonts w:ascii="Times New Roman" w:hAnsi="Times New Roman"/>
          <w:noProof/>
          <w:sz w:val="24"/>
        </w:rPr>
        <w:t>személyzetének javadalmazása nem függhet az elvégzett értékelések számától és az értékelések eredményétől.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14. A megfelelőségértékelő szervezeteknek felelősségbiztosítást kell kötniük, kivéve, ha a felelősséget a nemzeti joggal összhangban az állam vállalj</w:t>
      </w:r>
      <w:r>
        <w:rPr>
          <w:rFonts w:ascii="Times New Roman" w:hAnsi="Times New Roman"/>
          <w:noProof/>
          <w:sz w:val="24"/>
        </w:rPr>
        <w:t>a át, vagy ha a tagállam közvetlenül felel a megfelelőségértékelésért.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15. A megfelelőségértékelő szervezet személyzetének minden olyan információ tekintetében, amely e rendelet vagy az e rendeletből fakadó joghatások érvényesülését biztosító nemzeti jogsz</w:t>
      </w:r>
      <w:r>
        <w:rPr>
          <w:rFonts w:ascii="Times New Roman" w:hAnsi="Times New Roman"/>
          <w:noProof/>
          <w:sz w:val="24"/>
        </w:rPr>
        <w:t xml:space="preserve">abályok rendelkezései alapján ellátott feladatainak végrehajtása során jutott birtokába, be kell tartania a szakmai titoktartás követelményeit, kivéve azon tagállamok illetékes hatóságainak viszonylatában, ahol a szervezet a tevékenységét gyakorolja. 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16. </w:t>
      </w:r>
      <w:r>
        <w:rPr>
          <w:rFonts w:ascii="Times New Roman" w:hAnsi="Times New Roman"/>
          <w:noProof/>
          <w:sz w:val="24"/>
        </w:rPr>
        <w:t>A megfelelőségértékelő szervezetnek teljesítenie kell az EN ISO/IEC 17065:2012 szabvány szerinti követelményeket.</w:t>
      </w:r>
    </w:p>
    <w:p w:rsidR="003D02F7" w:rsidRDefault="00A37B81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17. A megfelelőségértékelő szervezetnek gondoskodnia kell arról, hogy a megfelelőségértékelések céljára használt vizsgálati laboratóriumok meg</w:t>
      </w:r>
      <w:r>
        <w:rPr>
          <w:rFonts w:ascii="Times New Roman" w:hAnsi="Times New Roman"/>
          <w:noProof/>
          <w:sz w:val="24"/>
        </w:rPr>
        <w:t>feleljenek az EN ISO/IEC 17025:2005 szabvány követelményeinek.</w:t>
      </w:r>
    </w:p>
    <w:p w:rsidR="003D02F7" w:rsidRDefault="003D02F7">
      <w:pPr>
        <w:rPr>
          <w:noProof/>
        </w:rPr>
      </w:pPr>
    </w:p>
    <w:sectPr w:rsidR="003D02F7" w:rsidSect="00A37B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F7" w:rsidRDefault="00A37B81">
      <w:pPr>
        <w:spacing w:after="0" w:line="240" w:lineRule="auto"/>
      </w:pPr>
      <w:r>
        <w:separator/>
      </w:r>
    </w:p>
  </w:endnote>
  <w:endnote w:type="continuationSeparator" w:id="0">
    <w:p w:rsidR="003D02F7" w:rsidRDefault="00A3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7" w:rsidRDefault="00A37B81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7" w:rsidRDefault="003D02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10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B81" w:rsidRDefault="00A37B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02F7" w:rsidRDefault="003D02F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7" w:rsidRDefault="003D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F7" w:rsidRDefault="00A37B81">
      <w:pPr>
        <w:spacing w:after="0" w:line="240" w:lineRule="auto"/>
      </w:pPr>
      <w:r>
        <w:separator/>
      </w:r>
    </w:p>
  </w:footnote>
  <w:footnote w:type="continuationSeparator" w:id="0">
    <w:p w:rsidR="003D02F7" w:rsidRDefault="00A3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81" w:rsidRDefault="00A37B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7" w:rsidRDefault="003D02F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7" w:rsidRDefault="003D02F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F7" w:rsidRDefault="003D0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 következ\u337?höz: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BB5AA8AA5284717AD154BCB47F7CB30"/>
    <w:docVar w:name="LW_CROSSREFERENCE" w:val="{SWD(2017) 500 final}_x000b_{SWD(2017) 501 final}_x000b_{SWD(2017) 502 final}"/>
    <w:docVar w:name="LW_DocType" w:val="NORMAL"/>
    <w:docVar w:name="LW_EMISSION" w:val="2017.9.13."/>
    <w:docVar w:name="LW_EMISSION_ISODATE" w:val="2017-09-13"/>
    <w:docVar w:name="LW_EMISSION_LOCATION" w:val="BRX"/>
    <w:docVar w:name="LW_EMISSION_PREFIX" w:val="Brüsszel, "/>
    <w:docVar w:name="LW_EMISSION_SUFFIX" w:val=" "/>
    <w:docVar w:name="LW_ID_DOCTYPE_NONLW" w:val="CP-036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NISA-ról, az Európai Uniós Kiberbiztonsági Ügynökségr\u337?l, az  526/2013/EU rendelet hatályon kívül helyezésér\u337?l, valamint az információs és kommunikációs technológiák kiberbiztonsági tanúsításáról (\u8222?kiberbiztonsági jogszabály\u8221?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477"/>
    <w:docVar w:name="LW_REF.INTERNE" w:val="&lt;UNUSED&gt;"/>
    <w:docVar w:name="LW_SUPERTITRE" w:val="&lt;UNUSED&gt;"/>
    <w:docVar w:name="LW_TITRE.OBJ.CP" w:val="&lt;UNUSED&gt;"/>
    <w:docVar w:name="LW_TYPE.DOC.CP" w:val="MELLÉKLET_x000b_"/>
    <w:docVar w:name="LW_TYPEACTEPRINCIPAL.CP" w:val="JAVASLAT _x000b_AZ EURÓPAI PARLAMENT ÉS A TANÁCS RENDELETE"/>
  </w:docVars>
  <w:rsids>
    <w:rsidRoot w:val="003D02F7"/>
    <w:rsid w:val="003D02F7"/>
    <w:rsid w:val="00A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overPageChar">
    <w:name w:val="Footer Cover Page Char"/>
    <w:basedOn w:val="Heading1Char"/>
    <w:link w:val="Foot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overPageChar">
    <w:name w:val="Header Cover Page Char"/>
    <w:basedOn w:val="Heading1Char"/>
    <w:link w:val="HeaderCoverPage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LEGROS Juliette (CNECT)</dc:creator>
  <cp:lastModifiedBy>WADHWANIA Nadia (MARE-EXT)</cp:lastModifiedBy>
  <cp:revision>15</cp:revision>
  <dcterms:created xsi:type="dcterms:W3CDTF">2017-08-30T11:36:00Z</dcterms:created>
  <dcterms:modified xsi:type="dcterms:W3CDTF">2017-10-11T10:29:00Z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